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75917">
      <w:pPr>
        <w:spacing w:line="560" w:lineRule="exact"/>
        <w:ind w:left="0" w:leftChars="0" w:firstLine="0" w:firstLineChars="0"/>
        <w:jc w:val="center"/>
        <w:outlineLvl w:val="9"/>
        <w:rPr>
          <w:rStyle w:val="28"/>
          <w:rFonts w:hint="eastAsia" w:ascii="方正小标宋简体" w:hAnsi="Times New Roman" w:eastAsia="方正小标宋简体" w:cs="Times New Roman"/>
          <w:sz w:val="40"/>
          <w:szCs w:val="40"/>
          <w:lang w:val="en-US" w:eastAsia="zh-CN"/>
        </w:rPr>
      </w:pPr>
      <w:r>
        <w:rPr>
          <w:rStyle w:val="28"/>
          <w:rFonts w:hint="eastAsia" w:ascii="方正小标宋简体" w:hAnsi="Times New Roman" w:eastAsia="方正小标宋简体" w:cs="Times New Roman"/>
          <w:sz w:val="40"/>
          <w:szCs w:val="40"/>
          <w:lang w:val="en-US" w:eastAsia="zh-CN"/>
        </w:rPr>
        <w:t>绵阳高新区专精特新中小企业孵化园项目</w:t>
      </w:r>
    </w:p>
    <w:p w14:paraId="50958680">
      <w:pPr>
        <w:spacing w:line="560" w:lineRule="exact"/>
        <w:ind w:left="0" w:leftChars="0" w:firstLine="0" w:firstLineChars="0"/>
        <w:jc w:val="center"/>
        <w:outlineLvl w:val="9"/>
        <w:rPr>
          <w:rStyle w:val="28"/>
          <w:rFonts w:hint="default" w:ascii="方正小标宋简体" w:hAnsi="Times New Roman" w:eastAsia="方正小标宋简体" w:cs="Times New Roman"/>
          <w:sz w:val="40"/>
          <w:szCs w:val="40"/>
          <w:lang w:val="en-US" w:eastAsia="zh-CN"/>
        </w:rPr>
      </w:pPr>
      <w:r>
        <w:rPr>
          <w:rStyle w:val="28"/>
          <w:rFonts w:hint="eastAsia" w:ascii="方正小标宋简体" w:hAnsi="Times New Roman" w:eastAsia="方正小标宋简体" w:cs="Times New Roman"/>
          <w:sz w:val="40"/>
          <w:szCs w:val="40"/>
          <w:lang w:val="en-US" w:eastAsia="zh-CN"/>
        </w:rPr>
        <w:t>情况说明</w:t>
      </w:r>
    </w:p>
    <w:p w14:paraId="172D83B5">
      <w:pPr>
        <w:spacing w:line="560" w:lineRule="exact"/>
        <w:jc w:val="center"/>
        <w:outlineLvl w:val="9"/>
        <w:rPr>
          <w:rStyle w:val="28"/>
          <w:rFonts w:ascii="方正小标宋简体" w:hAnsi="Times New Roman" w:eastAsia="方正小标宋简体" w:cs="Times New Roman"/>
          <w:sz w:val="44"/>
          <w:szCs w:val="44"/>
        </w:rPr>
      </w:pPr>
    </w:p>
    <w:p w14:paraId="73BFED1F">
      <w:pPr>
        <w:spacing w:line="560" w:lineRule="exact"/>
        <w:jc w:val="center"/>
        <w:outlineLvl w:val="9"/>
        <w:rPr>
          <w:rStyle w:val="28"/>
          <w:rFonts w:ascii="方正小标宋简体" w:hAnsi="Times New Roman" w:eastAsia="方正小标宋简体" w:cs="Times New Roman"/>
          <w:sz w:val="44"/>
          <w:szCs w:val="44"/>
        </w:rPr>
      </w:pPr>
    </w:p>
    <w:p w14:paraId="4723C3FE">
      <w:pPr>
        <w:spacing w:line="560" w:lineRule="exact"/>
        <w:jc w:val="center"/>
        <w:outlineLvl w:val="9"/>
        <w:rPr>
          <w:rStyle w:val="28"/>
          <w:rFonts w:ascii="方正小标宋简体" w:hAnsi="Times New Roman" w:eastAsia="方正小标宋简体" w:cs="Times New Roman"/>
          <w:sz w:val="44"/>
          <w:szCs w:val="44"/>
        </w:rPr>
      </w:pPr>
    </w:p>
    <w:p w14:paraId="0CDE5E6E">
      <w:pPr>
        <w:spacing w:line="560" w:lineRule="exact"/>
        <w:jc w:val="center"/>
        <w:outlineLvl w:val="9"/>
        <w:rPr>
          <w:rStyle w:val="28"/>
          <w:rFonts w:ascii="方正小标宋简体" w:hAnsi="Times New Roman" w:eastAsia="方正小标宋简体" w:cs="Times New Roman"/>
          <w:sz w:val="44"/>
          <w:szCs w:val="44"/>
        </w:rPr>
      </w:pPr>
    </w:p>
    <w:p w14:paraId="263997B1">
      <w:pPr>
        <w:spacing w:line="560" w:lineRule="exact"/>
        <w:jc w:val="center"/>
        <w:outlineLvl w:val="9"/>
        <w:rPr>
          <w:rStyle w:val="28"/>
          <w:rFonts w:ascii="方正小标宋简体" w:hAnsi="Times New Roman" w:eastAsia="方正小标宋简体" w:cs="Times New Roman"/>
          <w:sz w:val="44"/>
          <w:szCs w:val="44"/>
        </w:rPr>
      </w:pPr>
    </w:p>
    <w:p w14:paraId="7E4BA721">
      <w:pPr>
        <w:spacing w:line="560" w:lineRule="exact"/>
        <w:jc w:val="center"/>
        <w:outlineLvl w:val="9"/>
        <w:rPr>
          <w:rStyle w:val="28"/>
          <w:rFonts w:ascii="方正小标宋简体" w:hAnsi="Times New Roman" w:eastAsia="方正小标宋简体" w:cs="Times New Roman"/>
          <w:sz w:val="44"/>
          <w:szCs w:val="44"/>
        </w:rPr>
      </w:pPr>
    </w:p>
    <w:p w14:paraId="70B1C8F9">
      <w:pPr>
        <w:spacing w:line="560" w:lineRule="exact"/>
        <w:jc w:val="center"/>
        <w:outlineLvl w:val="9"/>
        <w:rPr>
          <w:rStyle w:val="28"/>
          <w:rFonts w:ascii="方正小标宋简体" w:hAnsi="Times New Roman" w:eastAsia="方正小标宋简体" w:cs="Times New Roman"/>
          <w:sz w:val="44"/>
          <w:szCs w:val="44"/>
        </w:rPr>
      </w:pPr>
    </w:p>
    <w:p w14:paraId="59F314BC">
      <w:pPr>
        <w:spacing w:line="560" w:lineRule="exact"/>
        <w:jc w:val="center"/>
        <w:outlineLvl w:val="9"/>
        <w:rPr>
          <w:rStyle w:val="28"/>
          <w:rFonts w:ascii="方正小标宋简体" w:hAnsi="Times New Roman" w:eastAsia="方正小标宋简体" w:cs="Times New Roman"/>
          <w:sz w:val="44"/>
          <w:szCs w:val="44"/>
        </w:rPr>
      </w:pPr>
    </w:p>
    <w:p w14:paraId="33EDB194">
      <w:pPr>
        <w:widowControl/>
        <w:spacing w:after="120" w:afterLines="0"/>
        <w:ind w:firstLine="1800" w:firstLineChars="500"/>
        <w:jc w:val="left"/>
        <w:outlineLvl w:val="9"/>
        <w:rPr>
          <w:rStyle w:val="28"/>
          <w:rFonts w:ascii="黑体" w:hAnsi="黑体" w:eastAsia="黑体" w:cs="Times New Roman"/>
          <w:kern w:val="2"/>
          <w:sz w:val="36"/>
          <w:szCs w:val="36"/>
          <w:lang w:val="en-US" w:eastAsia="zh-CN" w:bidi="ar-SA"/>
        </w:rPr>
      </w:pPr>
    </w:p>
    <w:p w14:paraId="4D1C7CDD">
      <w:pPr>
        <w:keepNext w:val="0"/>
        <w:keepLines w:val="0"/>
        <w:pageBreakBefore w:val="0"/>
        <w:widowControl/>
        <w:kinsoku/>
        <w:wordWrap/>
        <w:overflowPunct/>
        <w:topLinePunct w:val="0"/>
        <w:autoSpaceDE/>
        <w:autoSpaceDN/>
        <w:bidi w:val="0"/>
        <w:adjustRightInd/>
        <w:snapToGrid/>
        <w:spacing w:after="120" w:afterLines="0"/>
        <w:ind w:firstLine="960" w:firstLineChars="300"/>
        <w:jc w:val="both"/>
        <w:textAlignment w:val="auto"/>
        <w:outlineLvl w:val="9"/>
        <w:rPr>
          <w:rStyle w:val="28"/>
          <w:rFonts w:ascii="黑体" w:hAnsi="黑体" w:eastAsia="黑体" w:cs="Times New Roman"/>
          <w:kern w:val="2"/>
          <w:sz w:val="32"/>
          <w:szCs w:val="32"/>
          <w:lang w:val="en-US" w:eastAsia="zh-CN" w:bidi="ar-SA"/>
        </w:rPr>
      </w:pPr>
      <w:r>
        <w:rPr>
          <w:rStyle w:val="28"/>
          <w:rFonts w:ascii="黑体" w:hAnsi="黑体" w:eastAsia="黑体" w:cs="Times New Roman"/>
          <w:kern w:val="2"/>
          <w:sz w:val="32"/>
          <w:szCs w:val="32"/>
          <w:lang w:val="en-US" w:eastAsia="zh-CN" w:bidi="ar-SA"/>
        </w:rPr>
        <w:t>财政部门：</w:t>
      </w:r>
      <w:r>
        <w:rPr>
          <w:rStyle w:val="28"/>
          <w:rFonts w:hint="eastAsia" w:ascii="黑体" w:hAnsi="黑体" w:eastAsia="黑体" w:cs="Times New Roman"/>
          <w:kern w:val="2"/>
          <w:sz w:val="32"/>
          <w:szCs w:val="32"/>
          <w:lang w:val="en-US" w:eastAsia="zh-CN" w:bidi="ar-SA"/>
        </w:rPr>
        <w:t>绵阳科技城财政金融国资局</w:t>
      </w:r>
    </w:p>
    <w:p w14:paraId="48879F14">
      <w:pPr>
        <w:keepNext w:val="0"/>
        <w:keepLines w:val="0"/>
        <w:pageBreakBefore w:val="0"/>
        <w:widowControl/>
        <w:kinsoku/>
        <w:wordWrap/>
        <w:overflowPunct/>
        <w:topLinePunct w:val="0"/>
        <w:autoSpaceDE/>
        <w:autoSpaceDN/>
        <w:bidi w:val="0"/>
        <w:adjustRightInd/>
        <w:snapToGrid/>
        <w:spacing w:after="120" w:afterLines="0"/>
        <w:ind w:firstLine="960" w:firstLineChars="300"/>
        <w:jc w:val="both"/>
        <w:textAlignment w:val="auto"/>
        <w:outlineLvl w:val="9"/>
        <w:rPr>
          <w:rStyle w:val="28"/>
          <w:rFonts w:hint="default" w:ascii="黑体" w:hAnsi="黑体" w:eastAsia="黑体" w:cs="Times New Roman"/>
          <w:kern w:val="2"/>
          <w:sz w:val="32"/>
          <w:szCs w:val="32"/>
          <w:lang w:val="en-US" w:eastAsia="zh-CN" w:bidi="ar-SA"/>
        </w:rPr>
      </w:pPr>
      <w:r>
        <w:rPr>
          <w:rStyle w:val="28"/>
          <w:rFonts w:hint="eastAsia" w:ascii="黑体" w:hAnsi="黑体" w:eastAsia="黑体" w:cs="Times New Roman"/>
          <w:kern w:val="2"/>
          <w:sz w:val="32"/>
          <w:szCs w:val="32"/>
          <w:lang w:val="en-US" w:eastAsia="zh-CN" w:bidi="ar-SA"/>
        </w:rPr>
        <w:t>发改部门：绵阳科技城发展和改革局</w:t>
      </w:r>
    </w:p>
    <w:p w14:paraId="2EAE5525">
      <w:pPr>
        <w:keepNext w:val="0"/>
        <w:keepLines w:val="0"/>
        <w:pageBreakBefore w:val="0"/>
        <w:widowControl/>
        <w:kinsoku/>
        <w:wordWrap/>
        <w:overflowPunct/>
        <w:topLinePunct w:val="0"/>
        <w:autoSpaceDE/>
        <w:autoSpaceDN/>
        <w:bidi w:val="0"/>
        <w:adjustRightInd/>
        <w:snapToGrid/>
        <w:spacing w:after="120" w:afterLines="0"/>
        <w:ind w:left="0" w:leftChars="0" w:firstLine="960" w:firstLineChars="300"/>
        <w:jc w:val="both"/>
        <w:textAlignment w:val="auto"/>
        <w:outlineLvl w:val="9"/>
        <w:rPr>
          <w:rStyle w:val="28"/>
          <w:rFonts w:hint="default" w:ascii="黑体" w:hAnsi="黑体" w:eastAsia="黑体" w:cs="Times New Roman"/>
          <w:kern w:val="2"/>
          <w:sz w:val="32"/>
          <w:szCs w:val="32"/>
          <w:lang w:val="en-US" w:eastAsia="zh-CN" w:bidi="ar-SA"/>
        </w:rPr>
      </w:pPr>
      <w:r>
        <w:rPr>
          <w:rStyle w:val="28"/>
          <w:rFonts w:hint="eastAsia" w:ascii="黑体" w:hAnsi="黑体" w:eastAsia="黑体" w:cs="Times New Roman"/>
          <w:kern w:val="2"/>
          <w:sz w:val="32"/>
          <w:szCs w:val="32"/>
          <w:lang w:val="en-US" w:eastAsia="zh-CN" w:bidi="ar-SA"/>
        </w:rPr>
        <w:t>主管部门：绵阳科技城新型工业化和数字经济局</w:t>
      </w:r>
    </w:p>
    <w:p w14:paraId="3FE1F499">
      <w:pPr>
        <w:keepNext w:val="0"/>
        <w:keepLines w:val="0"/>
        <w:pageBreakBefore w:val="0"/>
        <w:widowControl/>
        <w:kinsoku/>
        <w:wordWrap/>
        <w:overflowPunct/>
        <w:topLinePunct w:val="0"/>
        <w:autoSpaceDE/>
        <w:autoSpaceDN/>
        <w:bidi w:val="0"/>
        <w:adjustRightInd/>
        <w:snapToGrid/>
        <w:spacing w:after="120" w:afterLines="0"/>
        <w:ind w:firstLine="960" w:firstLineChars="300"/>
        <w:jc w:val="both"/>
        <w:textAlignment w:val="auto"/>
        <w:outlineLvl w:val="9"/>
        <w:rPr>
          <w:rStyle w:val="28"/>
          <w:rFonts w:ascii="黑体" w:hAnsi="黑体" w:eastAsia="黑体" w:cs="Times New Roman"/>
          <w:kern w:val="2"/>
          <w:sz w:val="32"/>
          <w:szCs w:val="32"/>
          <w:lang w:val="en-US" w:eastAsia="zh-CN" w:bidi="ar-SA"/>
        </w:rPr>
      </w:pPr>
      <w:r>
        <w:rPr>
          <w:rStyle w:val="28"/>
          <w:rFonts w:ascii="黑体" w:hAnsi="黑体" w:eastAsia="黑体" w:cs="Times New Roman"/>
          <w:kern w:val="2"/>
          <w:sz w:val="32"/>
          <w:szCs w:val="32"/>
          <w:lang w:val="en-US" w:eastAsia="zh-CN" w:bidi="ar-SA"/>
        </w:rPr>
        <w:t>业主单位：</w:t>
      </w:r>
      <w:r>
        <w:rPr>
          <w:rStyle w:val="28"/>
          <w:rFonts w:hint="eastAsia" w:ascii="黑体" w:hAnsi="黑体" w:eastAsia="黑体" w:cs="Times New Roman"/>
          <w:kern w:val="2"/>
          <w:sz w:val="32"/>
          <w:szCs w:val="32"/>
          <w:lang w:val="en-US" w:eastAsia="zh-CN" w:bidi="ar-SA"/>
        </w:rPr>
        <w:t>绵阳高新发展投资控股有限公司</w:t>
      </w:r>
    </w:p>
    <w:p w14:paraId="6A99C50A">
      <w:pPr>
        <w:pageBreakBefore w:val="0"/>
        <w:kinsoku/>
        <w:wordWrap/>
        <w:overflowPunct/>
        <w:topLinePunct w:val="0"/>
        <w:autoSpaceDE/>
        <w:autoSpaceDN/>
        <w:bidi w:val="0"/>
        <w:spacing w:before="435" w:beforeLines="100" w:line="540" w:lineRule="exact"/>
        <w:ind w:firstLine="0" w:firstLineChars="0"/>
        <w:jc w:val="center"/>
        <w:outlineLvl w:val="0"/>
        <w:rPr>
          <w:rFonts w:hint="eastAsia" w:cs="仿宋"/>
          <w:b/>
          <w:bCs/>
          <w:sz w:val="44"/>
          <w:szCs w:val="44"/>
        </w:rPr>
      </w:pPr>
    </w:p>
    <w:p w14:paraId="6143A72D">
      <w:pPr>
        <w:pageBreakBefore w:val="0"/>
        <w:kinsoku/>
        <w:wordWrap/>
        <w:overflowPunct/>
        <w:topLinePunct w:val="0"/>
        <w:autoSpaceDE/>
        <w:autoSpaceDN/>
        <w:bidi w:val="0"/>
        <w:spacing w:before="435" w:beforeLines="100" w:line="540" w:lineRule="exact"/>
        <w:ind w:firstLine="0" w:firstLineChars="0"/>
        <w:jc w:val="center"/>
        <w:outlineLvl w:val="0"/>
        <w:rPr>
          <w:rFonts w:hint="eastAsia" w:cs="仿宋"/>
          <w:b/>
          <w:bCs/>
          <w:sz w:val="44"/>
          <w:szCs w:val="44"/>
        </w:rPr>
      </w:pPr>
    </w:p>
    <w:p w14:paraId="0F414587">
      <w:pPr>
        <w:pageBreakBefore w:val="0"/>
        <w:kinsoku/>
        <w:wordWrap/>
        <w:overflowPunct/>
        <w:topLinePunct w:val="0"/>
        <w:autoSpaceDE/>
        <w:autoSpaceDN/>
        <w:bidi w:val="0"/>
        <w:spacing w:before="435" w:beforeLines="100" w:line="540" w:lineRule="exact"/>
        <w:ind w:firstLine="0" w:firstLineChars="0"/>
        <w:jc w:val="both"/>
        <w:outlineLvl w:val="0"/>
        <w:rPr>
          <w:rFonts w:hint="eastAsia" w:cs="仿宋"/>
          <w:b/>
          <w:bCs/>
          <w:sz w:val="44"/>
          <w:szCs w:val="44"/>
        </w:rPr>
      </w:pPr>
    </w:p>
    <w:p w14:paraId="3D88C371">
      <w:pPr>
        <w:pStyle w:val="2"/>
        <w:rPr>
          <w:rFonts w:hint="eastAsia"/>
        </w:rPr>
      </w:pPr>
    </w:p>
    <w:p w14:paraId="31AFB827">
      <w:pPr>
        <w:pageBreakBefore w:val="0"/>
        <w:kinsoku/>
        <w:wordWrap/>
        <w:overflowPunct/>
        <w:topLinePunct w:val="0"/>
        <w:autoSpaceDE/>
        <w:autoSpaceDN/>
        <w:bidi w:val="0"/>
        <w:spacing w:before="435" w:beforeLines="100" w:line="540" w:lineRule="exact"/>
        <w:ind w:firstLine="0" w:firstLineChars="0"/>
        <w:jc w:val="both"/>
        <w:outlineLvl w:val="0"/>
        <w:rPr>
          <w:rFonts w:cs="仿宋"/>
          <w:b/>
          <w:bCs/>
          <w:sz w:val="44"/>
          <w:szCs w:val="44"/>
        </w:rPr>
      </w:pPr>
      <w:r>
        <w:rPr>
          <w:rFonts w:hint="eastAsia" w:cs="仿宋"/>
          <w:b/>
          <w:bCs/>
          <w:sz w:val="44"/>
          <w:szCs w:val="44"/>
        </w:rPr>
        <w:t>绵阳高新区专精特新中小企业孵化园项目情况</w:t>
      </w:r>
    </w:p>
    <w:p w14:paraId="4919614D">
      <w:pPr>
        <w:pageBreakBefore w:val="0"/>
        <w:kinsoku/>
        <w:wordWrap/>
        <w:overflowPunct/>
        <w:topLinePunct w:val="0"/>
        <w:autoSpaceDE/>
        <w:autoSpaceDN/>
        <w:bidi w:val="0"/>
        <w:snapToGrid w:val="0"/>
        <w:spacing w:before="435" w:beforeLines="100" w:line="540" w:lineRule="exact"/>
        <w:ind w:firstLine="643"/>
        <w:outlineLvl w:val="0"/>
        <w:rPr>
          <w:rFonts w:cs="仿宋"/>
          <w:b/>
          <w:bCs/>
          <w:szCs w:val="32"/>
        </w:rPr>
      </w:pPr>
      <w:r>
        <w:rPr>
          <w:rFonts w:hint="eastAsia" w:cs="仿宋"/>
          <w:b/>
          <w:bCs/>
          <w:szCs w:val="32"/>
        </w:rPr>
        <w:t>一、项目基本情况</w:t>
      </w:r>
    </w:p>
    <w:p w14:paraId="78D6EE18">
      <w:pPr>
        <w:pageBreakBefore w:val="0"/>
        <w:kinsoku/>
        <w:wordWrap/>
        <w:overflowPunct/>
        <w:topLinePunct w:val="0"/>
        <w:autoSpaceDE/>
        <w:autoSpaceDN/>
        <w:bidi w:val="0"/>
        <w:spacing w:line="540" w:lineRule="exact"/>
        <w:ind w:firstLine="643"/>
        <w:outlineLvl w:val="1"/>
        <w:rPr>
          <w:rFonts w:cs="仿宋"/>
          <w:b/>
          <w:szCs w:val="32"/>
        </w:rPr>
      </w:pPr>
      <w:r>
        <w:rPr>
          <w:rFonts w:hint="eastAsia" w:cs="仿宋"/>
          <w:b/>
          <w:szCs w:val="32"/>
        </w:rPr>
        <w:t>（一）市县及行业专项规划概况</w:t>
      </w:r>
    </w:p>
    <w:p w14:paraId="3A496BD6">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（1）国家行业规划</w:t>
      </w:r>
    </w:p>
    <w:p w14:paraId="01BE0305">
      <w:pPr>
        <w:pageBreakBefore w:val="0"/>
        <w:kinsoku/>
        <w:wordWrap/>
        <w:overflowPunct/>
        <w:topLinePunct w:val="0"/>
        <w:autoSpaceDE/>
        <w:autoSpaceDN/>
        <w:bidi w:val="0"/>
        <w:spacing w:line="540" w:lineRule="exact"/>
        <w:ind w:firstLine="560"/>
        <w:rPr>
          <w:sz w:val="28"/>
          <w:szCs w:val="28"/>
        </w:rPr>
      </w:pPr>
      <w:r>
        <w:rPr>
          <w:rFonts w:hint="eastAsia"/>
          <w:sz w:val="28"/>
          <w:szCs w:val="28"/>
        </w:rPr>
        <w:t>党</w:t>
      </w:r>
      <w:r>
        <w:rPr>
          <w:sz w:val="28"/>
          <w:szCs w:val="28"/>
        </w:rPr>
        <w:t>的二十大报告从战略和全局高度强调支持专精特新企业发展，为中小企业发展指明了前进方向。</w:t>
      </w:r>
      <w:r>
        <w:rPr>
          <w:rFonts w:hint="eastAsia"/>
          <w:sz w:val="28"/>
          <w:szCs w:val="28"/>
        </w:rPr>
        <w:t>2022年</w:t>
      </w:r>
      <w:r>
        <w:rPr>
          <w:sz w:val="28"/>
          <w:szCs w:val="28"/>
        </w:rPr>
        <w:t>全国已经累计培育7万多家专精特新中小企业，其中，专精特新“小巨人”企业8997家，制造业单项冠军企业848家。在专精特新企业发展中，孵化器的角色至关重要，成为科技成果转化、专精特新企业培育的重要载体和抓手，当前我国孵化器行业已进入全面深化发展阶段。创业企业对孵化服务质量提升的需求正发生深刻变化，要求孵化器向类型多元、服务专业、开放协同的方向发展，国家支持专精特新企业发展，建设现代化产业体系的战略需求，则进一步要求科技孵化体系向专业化、国际化、网络化方向变革。</w:t>
      </w:r>
    </w:p>
    <w:p w14:paraId="504A40F3">
      <w:pPr>
        <w:pageBreakBefore w:val="0"/>
        <w:kinsoku/>
        <w:wordWrap/>
        <w:overflowPunct/>
        <w:topLinePunct w:val="0"/>
        <w:autoSpaceDE/>
        <w:autoSpaceDN/>
        <w:bidi w:val="0"/>
        <w:spacing w:line="540" w:lineRule="exact"/>
        <w:ind w:firstLine="560"/>
        <w:rPr>
          <w:sz w:val="28"/>
          <w:szCs w:val="28"/>
        </w:rPr>
      </w:pPr>
      <w:r>
        <w:rPr>
          <w:sz w:val="28"/>
          <w:szCs w:val="28"/>
        </w:rPr>
        <w:t>随着经济发展格局的持续演变与创新驱动战略的深入推进，国家专精特新企业的认定工作也迎来了关键的变革节点。近日，2024专精特新中小企业发展大会在上海举行，工业和信息化部在大会上发布了《中小企业专精特新发展评价指标体系》，该指标体系从评价维度、增长指标等方面有了新的变化</w:t>
      </w:r>
      <w:r>
        <w:rPr>
          <w:rFonts w:hint="eastAsia"/>
          <w:sz w:val="28"/>
          <w:szCs w:val="28"/>
        </w:rPr>
        <w:t>，</w:t>
      </w:r>
      <w:r>
        <w:rPr>
          <w:sz w:val="28"/>
          <w:szCs w:val="28"/>
        </w:rPr>
        <w:t>围绕企业的创新能力、成长性等多项指标进行评价。</w:t>
      </w:r>
    </w:p>
    <w:p w14:paraId="069F2B00">
      <w:pPr>
        <w:pageBreakBefore w:val="0"/>
        <w:kinsoku/>
        <w:wordWrap/>
        <w:overflowPunct/>
        <w:topLinePunct w:val="0"/>
        <w:autoSpaceDE/>
        <w:autoSpaceDN/>
        <w:bidi w:val="0"/>
        <w:spacing w:line="540" w:lineRule="exact"/>
        <w:ind w:firstLine="560"/>
        <w:rPr>
          <w:sz w:val="28"/>
          <w:szCs w:val="28"/>
        </w:rPr>
      </w:pPr>
      <w:r>
        <w:rPr>
          <w:rFonts w:hint="eastAsia"/>
          <w:sz w:val="28"/>
          <w:szCs w:val="28"/>
        </w:rPr>
        <w:t>在</w:t>
      </w:r>
      <w:r>
        <w:rPr>
          <w:sz w:val="28"/>
          <w:szCs w:val="28"/>
        </w:rPr>
        <w:t>2021-2025年，中央财政累计安排超过100亿元奖补资金，用于支持专精特新中小企业的高质量发展。这些资金旨在引导地方完善扶持政策和公共服务体系，重点支持国家级专精特新“小巨人”企业的发展，并促进这些企业发挥示范作用。国家针对专精特新中小企业孵化园项目的规划，旨在通过财政支持、评价指标体系的建立和孵化器的角色强化，促进中小企业的高质量发展，进而推动整个经济的创新和升级。</w:t>
      </w:r>
    </w:p>
    <w:p w14:paraId="6DF36C8C">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（2）四川省行业规划</w:t>
      </w:r>
    </w:p>
    <w:p w14:paraId="10A8C9DA">
      <w:pPr>
        <w:pageBreakBefore w:val="0"/>
        <w:kinsoku/>
        <w:wordWrap/>
        <w:overflowPunct/>
        <w:topLinePunct w:val="0"/>
        <w:autoSpaceDE/>
        <w:autoSpaceDN/>
        <w:bidi w:val="0"/>
        <w:spacing w:line="540" w:lineRule="exact"/>
        <w:ind w:firstLine="560"/>
        <w:rPr>
          <w:sz w:val="28"/>
          <w:szCs w:val="28"/>
        </w:rPr>
      </w:pPr>
      <w:r>
        <w:rPr>
          <w:rFonts w:hint="eastAsia"/>
          <w:sz w:val="28"/>
          <w:szCs w:val="28"/>
        </w:rPr>
        <w:t>四川省经济和信息化厅制定了《四川省专精特新中小企业认定管理办法》，旨在规范四川省专精特新中小企业的认定工作，并培育壮大优质中小企业队伍。这些办法明确了专精特新中小企业的定义和标准，包括专业化、精细化、特色化、新颖化的发展特征，以及企业能够享受的支持和扶持。通过引导中小企业专精特新发展，进一步激发中小企业活力和发展动力，推动中小企业转型升级。并以专精特新中小企业为基础，在核心基础零部件（元器件）、关键基础材料、先进基础工艺和产业技术基础等领域，培育一批主营业务突出、竞争力强、成长性好的专精特新“小巨人”，引导成长为制造业单项冠军。</w:t>
      </w:r>
    </w:p>
    <w:p w14:paraId="293C8E4A">
      <w:pPr>
        <w:pageBreakBefore w:val="0"/>
        <w:kinsoku/>
        <w:wordWrap/>
        <w:overflowPunct/>
        <w:topLinePunct w:val="0"/>
        <w:autoSpaceDE/>
        <w:autoSpaceDN/>
        <w:bidi w:val="0"/>
        <w:spacing w:line="540" w:lineRule="exact"/>
        <w:ind w:firstLine="560"/>
        <w:rPr>
          <w:sz w:val="28"/>
          <w:szCs w:val="28"/>
        </w:rPr>
      </w:pPr>
      <w:r>
        <w:rPr>
          <w:rFonts w:hint="eastAsia"/>
          <w:sz w:val="28"/>
          <w:szCs w:val="28"/>
        </w:rPr>
        <w:t>四川省经济和信息化厅对认定的四川省“专精特新”中小企业纳入四川省“专精特新”中小企业库，予以跟踪管理。在融资服务、技术服务、诊断服务、创新驱动、转型升级、专题培训等方面给予支持。择优推荐申报国家级专精特新“小巨人”企业。对获得国家级专精特新“小巨人”的企业，支持其积极申报和承担国家相关专项和省级相关项目。</w:t>
      </w:r>
    </w:p>
    <w:p w14:paraId="78806E15">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w:t>
      </w:r>
      <w:r>
        <w:rPr>
          <w:rFonts w:cs="仿宋"/>
          <w:sz w:val="28"/>
          <w:szCs w:val="28"/>
        </w:rPr>
        <w:t>3</w:t>
      </w:r>
      <w:r>
        <w:rPr>
          <w:rFonts w:hint="eastAsia" w:cs="仿宋"/>
          <w:sz w:val="28"/>
          <w:szCs w:val="28"/>
        </w:rPr>
        <w:t>）绵阳市行业规划</w:t>
      </w:r>
    </w:p>
    <w:p w14:paraId="6B29FBDB">
      <w:pPr>
        <w:pageBreakBefore w:val="0"/>
        <w:kinsoku/>
        <w:wordWrap/>
        <w:overflowPunct/>
        <w:topLinePunct w:val="0"/>
        <w:autoSpaceDE/>
        <w:autoSpaceDN/>
        <w:bidi w:val="0"/>
        <w:spacing w:line="540" w:lineRule="exact"/>
        <w:ind w:firstLine="560"/>
        <w:rPr>
          <w:sz w:val="28"/>
          <w:szCs w:val="28"/>
        </w:rPr>
      </w:pPr>
      <w:r>
        <w:rPr>
          <w:rFonts w:hint="eastAsia"/>
          <w:sz w:val="28"/>
          <w:szCs w:val="28"/>
        </w:rPr>
        <w:t>响应“十四五”规划中关于培育专精特新企业的号召，助力解决“卡脖子”技术问题，推动产业链供应链现代化。绵阳作为中国科技城，依托国防科研院所（如中国工程物理研究院）、西南科技大学等资源，具备科技研发和成果转化基础。高新区以电子信息、先进材料、高端装备制造为主导产业，亟需孵化细分领域的“隐形冠军”企业，完善产业生态链。绵阳高新区专精特新孵化园将以“科技赋能、链式孵化、生态协同”为核心理念，通过政策、资本、技术、人才四轮驱动，培育一批具有国际竞争力的创新型企业，助力绵阳建设国家级创新型城市，服务国家科技自立自强战略。</w:t>
      </w:r>
    </w:p>
    <w:p w14:paraId="4B4DCE4E">
      <w:pPr>
        <w:pageBreakBefore w:val="0"/>
        <w:kinsoku/>
        <w:wordWrap/>
        <w:overflowPunct/>
        <w:topLinePunct w:val="0"/>
        <w:autoSpaceDE/>
        <w:autoSpaceDN/>
        <w:bidi w:val="0"/>
        <w:spacing w:line="540" w:lineRule="exact"/>
        <w:ind w:firstLine="643"/>
        <w:outlineLvl w:val="1"/>
        <w:rPr>
          <w:rFonts w:cs="仿宋"/>
          <w:b/>
          <w:szCs w:val="32"/>
        </w:rPr>
      </w:pPr>
      <w:r>
        <w:rPr>
          <w:rFonts w:hint="eastAsia" w:cs="仿宋"/>
          <w:b/>
          <w:szCs w:val="32"/>
        </w:rPr>
        <w:t>（二）项目情况</w:t>
      </w:r>
    </w:p>
    <w:p w14:paraId="65AB2E6C">
      <w:pPr>
        <w:pageBreakBefore w:val="0"/>
        <w:kinsoku/>
        <w:wordWrap/>
        <w:overflowPunct/>
        <w:topLinePunct w:val="0"/>
        <w:autoSpaceDE/>
        <w:autoSpaceDN/>
        <w:bidi w:val="0"/>
        <w:spacing w:line="540" w:lineRule="exact"/>
        <w:ind w:firstLine="643"/>
        <w:outlineLvl w:val="2"/>
        <w:rPr>
          <w:rFonts w:cs="仿宋"/>
          <w:b/>
          <w:szCs w:val="32"/>
        </w:rPr>
      </w:pPr>
      <w:r>
        <w:rPr>
          <w:rFonts w:hint="eastAsia" w:cs="仿宋"/>
          <w:b/>
          <w:szCs w:val="32"/>
        </w:rPr>
        <w:t>1．参与主体</w:t>
      </w:r>
    </w:p>
    <w:p w14:paraId="79022984">
      <w:pPr>
        <w:pageBreakBefore w:val="0"/>
        <w:kinsoku/>
        <w:wordWrap/>
        <w:overflowPunct/>
        <w:topLinePunct w:val="0"/>
        <w:autoSpaceDE/>
        <w:autoSpaceDN/>
        <w:bidi w:val="0"/>
        <w:spacing w:line="540" w:lineRule="exact"/>
        <w:ind w:firstLine="560"/>
        <w:rPr>
          <w:sz w:val="28"/>
          <w:szCs w:val="28"/>
        </w:rPr>
      </w:pPr>
      <w:r>
        <w:rPr>
          <w:rFonts w:hint="eastAsia"/>
          <w:sz w:val="28"/>
          <w:szCs w:val="28"/>
        </w:rPr>
        <w:t>行业主管部门：绵阳科技城新型工业化和数字经济局</w:t>
      </w:r>
    </w:p>
    <w:p w14:paraId="2FDCAEC9">
      <w:pPr>
        <w:pageBreakBefore w:val="0"/>
        <w:kinsoku/>
        <w:wordWrap/>
        <w:overflowPunct/>
        <w:topLinePunct w:val="0"/>
        <w:autoSpaceDE/>
        <w:autoSpaceDN/>
        <w:bidi w:val="0"/>
        <w:spacing w:line="540" w:lineRule="exact"/>
        <w:ind w:firstLine="560"/>
        <w:rPr>
          <w:sz w:val="28"/>
          <w:szCs w:val="28"/>
        </w:rPr>
      </w:pPr>
      <w:r>
        <w:rPr>
          <w:rFonts w:hint="eastAsia"/>
          <w:sz w:val="28"/>
          <w:szCs w:val="28"/>
        </w:rPr>
        <w:t>项目单位：绵阳高新发展投资控股有限公司</w:t>
      </w:r>
    </w:p>
    <w:p w14:paraId="5DC3B0A3">
      <w:pPr>
        <w:pageBreakBefore w:val="0"/>
        <w:kinsoku/>
        <w:wordWrap/>
        <w:overflowPunct/>
        <w:topLinePunct w:val="0"/>
        <w:autoSpaceDE/>
        <w:autoSpaceDN/>
        <w:bidi w:val="0"/>
        <w:spacing w:line="540" w:lineRule="exact"/>
        <w:ind w:firstLine="643"/>
        <w:rPr>
          <w:rFonts w:cs="仿宋"/>
          <w:b/>
          <w:szCs w:val="32"/>
        </w:rPr>
      </w:pPr>
      <w:r>
        <w:rPr>
          <w:rFonts w:hint="eastAsia" w:cs="仿宋"/>
          <w:b/>
          <w:szCs w:val="32"/>
        </w:rPr>
        <w:t>2．项目概况</w:t>
      </w:r>
    </w:p>
    <w:p w14:paraId="07F5B72E">
      <w:pPr>
        <w:pageBreakBefore w:val="0"/>
        <w:kinsoku/>
        <w:wordWrap/>
        <w:overflowPunct/>
        <w:topLinePunct w:val="0"/>
        <w:autoSpaceDE/>
        <w:autoSpaceDN/>
        <w:bidi w:val="0"/>
        <w:spacing w:line="540" w:lineRule="exact"/>
        <w:ind w:firstLine="560"/>
        <w:rPr>
          <w:sz w:val="28"/>
          <w:szCs w:val="28"/>
        </w:rPr>
      </w:pPr>
      <w:r>
        <w:rPr>
          <w:rFonts w:hint="eastAsia"/>
          <w:sz w:val="28"/>
          <w:szCs w:val="28"/>
        </w:rPr>
        <w:t>（１）项目所属领域：有自身收益的公益性产业园区基础设施建设项目</w:t>
      </w:r>
    </w:p>
    <w:p w14:paraId="2E389272">
      <w:pPr>
        <w:pageBreakBefore w:val="0"/>
        <w:kinsoku/>
        <w:wordWrap/>
        <w:overflowPunct/>
        <w:topLinePunct w:val="0"/>
        <w:autoSpaceDE/>
        <w:autoSpaceDN/>
        <w:bidi w:val="0"/>
        <w:spacing w:line="540" w:lineRule="exact"/>
        <w:ind w:firstLine="560"/>
        <w:rPr>
          <w:sz w:val="28"/>
          <w:szCs w:val="28"/>
        </w:rPr>
      </w:pPr>
      <w:r>
        <w:rPr>
          <w:rFonts w:hint="eastAsia"/>
          <w:sz w:val="28"/>
          <w:szCs w:val="28"/>
        </w:rPr>
        <w:t>（２）建设地点：绵阳高新区(科技城直管区)永兴镇</w:t>
      </w:r>
    </w:p>
    <w:p w14:paraId="1BBB4FCC">
      <w:pPr>
        <w:pageBreakBefore w:val="0"/>
        <w:kinsoku/>
        <w:wordWrap/>
        <w:overflowPunct/>
        <w:topLinePunct w:val="0"/>
        <w:autoSpaceDE/>
        <w:autoSpaceDN/>
        <w:bidi w:val="0"/>
        <w:spacing w:line="540" w:lineRule="exact"/>
        <w:ind w:firstLine="560"/>
        <w:rPr>
          <w:sz w:val="28"/>
          <w:szCs w:val="28"/>
        </w:rPr>
      </w:pPr>
      <w:r>
        <w:rPr>
          <w:rFonts w:hint="eastAsia"/>
          <w:sz w:val="28"/>
          <w:szCs w:val="28"/>
        </w:rPr>
        <w:t>（３）建设内容和规模</w:t>
      </w:r>
    </w:p>
    <w:p w14:paraId="551197D4">
      <w:pPr>
        <w:pageBreakBefore w:val="0"/>
        <w:kinsoku/>
        <w:wordWrap/>
        <w:overflowPunct/>
        <w:topLinePunct w:val="0"/>
        <w:autoSpaceDE/>
        <w:autoSpaceDN/>
        <w:bidi w:val="0"/>
        <w:spacing w:line="540" w:lineRule="exact"/>
        <w:ind w:firstLine="560"/>
        <w:rPr>
          <w:sz w:val="28"/>
          <w:szCs w:val="28"/>
        </w:rPr>
      </w:pPr>
      <w:r>
        <w:rPr>
          <w:rFonts w:hint="eastAsia"/>
          <w:sz w:val="28"/>
          <w:szCs w:val="28"/>
        </w:rPr>
        <w:t>项目规划净用地面积33333.52㎡(约50亩）；规划总建筑面积108658.38㎡，其中地上建筑面积82121.58㎡（1#-2#楼高层厂房、生产研发用房、门卫室）；地下建筑面积26536.80㎡，其中地下机动车库面积26044.80㎡，地下非机动车库面积492㎡，提供地下停车位718个，同步建设新能源充电桩等配套基础设施。</w:t>
      </w:r>
    </w:p>
    <w:p w14:paraId="24A9B200">
      <w:pPr>
        <w:pageBreakBefore w:val="0"/>
        <w:kinsoku/>
        <w:wordWrap/>
        <w:overflowPunct/>
        <w:topLinePunct w:val="0"/>
        <w:autoSpaceDE/>
        <w:autoSpaceDN/>
        <w:bidi w:val="0"/>
        <w:spacing w:before="435" w:beforeLines="100" w:line="540" w:lineRule="exact"/>
        <w:ind w:firstLine="643"/>
        <w:outlineLvl w:val="0"/>
        <w:rPr>
          <w:rFonts w:cs="仿宋"/>
          <w:b/>
          <w:bCs/>
          <w:szCs w:val="32"/>
        </w:rPr>
      </w:pPr>
      <w:r>
        <w:rPr>
          <w:rFonts w:hint="eastAsia" w:cs="仿宋"/>
          <w:b/>
          <w:bCs/>
          <w:szCs w:val="32"/>
        </w:rPr>
        <w:t>二、经济社会效益分析</w:t>
      </w:r>
    </w:p>
    <w:p w14:paraId="2C3624A3">
      <w:pPr>
        <w:pageBreakBefore w:val="0"/>
        <w:kinsoku/>
        <w:wordWrap/>
        <w:overflowPunct/>
        <w:topLinePunct w:val="0"/>
        <w:autoSpaceDE/>
        <w:autoSpaceDN/>
        <w:bidi w:val="0"/>
        <w:spacing w:line="540" w:lineRule="exact"/>
        <w:ind w:firstLine="643"/>
        <w:rPr>
          <w:rFonts w:cs="仿宋"/>
          <w:b/>
          <w:bCs/>
        </w:rPr>
      </w:pPr>
      <w:bookmarkStart w:id="0" w:name="_Toc7158"/>
      <w:bookmarkStart w:id="1" w:name="_Toc23695"/>
      <w:r>
        <w:rPr>
          <w:rFonts w:hint="eastAsia" w:cs="仿宋"/>
          <w:b/>
          <w:bCs/>
        </w:rPr>
        <w:t>（一）经济效益分析</w:t>
      </w:r>
      <w:bookmarkEnd w:id="0"/>
      <w:bookmarkEnd w:id="1"/>
    </w:p>
    <w:p w14:paraId="4897DD32">
      <w:pPr>
        <w:pageBreakBefore w:val="0"/>
        <w:kinsoku/>
        <w:wordWrap/>
        <w:overflowPunct/>
        <w:topLinePunct w:val="0"/>
        <w:autoSpaceDE/>
        <w:autoSpaceDN/>
        <w:bidi w:val="0"/>
        <w:spacing w:line="540" w:lineRule="exact"/>
        <w:ind w:firstLine="560"/>
        <w:rPr>
          <w:sz w:val="28"/>
          <w:szCs w:val="28"/>
        </w:rPr>
      </w:pPr>
      <w:bookmarkStart w:id="2" w:name="_Toc32508"/>
      <w:bookmarkStart w:id="3" w:name="_Toc25460"/>
      <w:r>
        <w:rPr>
          <w:rFonts w:hint="eastAsia"/>
          <w:sz w:val="28"/>
          <w:szCs w:val="28"/>
        </w:rPr>
        <w:t>1. 项目建成有利于促进科技创新与产业创新相结合</w:t>
      </w:r>
    </w:p>
    <w:p w14:paraId="0ED128B1">
      <w:pPr>
        <w:pageBreakBefore w:val="0"/>
        <w:kinsoku/>
        <w:wordWrap/>
        <w:overflowPunct/>
        <w:topLinePunct w:val="0"/>
        <w:autoSpaceDE/>
        <w:autoSpaceDN/>
        <w:bidi w:val="0"/>
        <w:spacing w:line="540" w:lineRule="exact"/>
        <w:ind w:firstLine="560"/>
        <w:rPr>
          <w:sz w:val="28"/>
          <w:szCs w:val="28"/>
        </w:rPr>
      </w:pPr>
      <w:r>
        <w:rPr>
          <w:rFonts w:hint="eastAsia"/>
          <w:sz w:val="28"/>
          <w:szCs w:val="28"/>
        </w:rPr>
        <w:t>本项目的建成是促进专精特新中小企业是推动新型工业化、发展新质生产力的重要力量。孵化园的建设有助于将这些企业的发展与科技创新和产业创新相结合，从而提升整个产业链的水平。</w:t>
      </w:r>
    </w:p>
    <w:p w14:paraId="103F2249">
      <w:pPr>
        <w:pageBreakBefore w:val="0"/>
        <w:kinsoku/>
        <w:wordWrap/>
        <w:overflowPunct/>
        <w:topLinePunct w:val="0"/>
        <w:autoSpaceDE/>
        <w:autoSpaceDN/>
        <w:bidi w:val="0"/>
        <w:spacing w:line="540" w:lineRule="exact"/>
        <w:ind w:firstLine="560"/>
        <w:rPr>
          <w:rFonts w:hint="eastAsia"/>
          <w:sz w:val="28"/>
          <w:szCs w:val="28"/>
        </w:rPr>
      </w:pPr>
      <w:r>
        <w:rPr>
          <w:rFonts w:hint="eastAsia"/>
          <w:sz w:val="28"/>
          <w:szCs w:val="28"/>
        </w:rPr>
        <w:t>2. 项目建成有利于增强产业链配套能力</w:t>
      </w:r>
    </w:p>
    <w:p w14:paraId="18DB9A63">
      <w:pPr>
        <w:pageBreakBefore w:val="0"/>
        <w:kinsoku/>
        <w:wordWrap/>
        <w:overflowPunct/>
        <w:topLinePunct w:val="0"/>
        <w:autoSpaceDE/>
        <w:autoSpaceDN/>
        <w:bidi w:val="0"/>
        <w:spacing w:line="540" w:lineRule="exact"/>
        <w:ind w:firstLine="560"/>
        <w:rPr>
          <w:sz w:val="28"/>
          <w:szCs w:val="28"/>
        </w:rPr>
      </w:pPr>
      <w:r>
        <w:rPr>
          <w:rFonts w:hint="eastAsia"/>
          <w:sz w:val="28"/>
          <w:szCs w:val="28"/>
        </w:rPr>
        <w:t>本项目建成后为企业提供了一系列支持服务，包括技术支持、市场拓展、融资机会等，这些都有助于专精特新中小企业提升其创新能力和专业化水平，增强它们在产业链中的配套能力，从而促进整个产业链的协同发展。</w:t>
      </w:r>
    </w:p>
    <w:p w14:paraId="579D9191">
      <w:pPr>
        <w:pageBreakBefore w:val="0"/>
        <w:kinsoku/>
        <w:wordWrap/>
        <w:overflowPunct/>
        <w:topLinePunct w:val="0"/>
        <w:autoSpaceDE/>
        <w:autoSpaceDN/>
        <w:bidi w:val="0"/>
        <w:spacing w:line="540" w:lineRule="exact"/>
        <w:ind w:firstLine="643"/>
        <w:outlineLvl w:val="1"/>
        <w:rPr>
          <w:rFonts w:cs="仿宋"/>
          <w:b/>
          <w:bCs/>
        </w:rPr>
      </w:pPr>
      <w:r>
        <w:rPr>
          <w:rFonts w:hint="eastAsia" w:cs="仿宋"/>
          <w:b/>
          <w:bCs/>
        </w:rPr>
        <w:t>（二）社会效益分析</w:t>
      </w:r>
      <w:bookmarkEnd w:id="2"/>
      <w:bookmarkEnd w:id="3"/>
    </w:p>
    <w:p w14:paraId="00FB0028">
      <w:pPr>
        <w:pageBreakBefore w:val="0"/>
        <w:kinsoku/>
        <w:wordWrap/>
        <w:overflowPunct/>
        <w:topLinePunct w:val="0"/>
        <w:autoSpaceDE/>
        <w:autoSpaceDN/>
        <w:bidi w:val="0"/>
        <w:spacing w:line="540" w:lineRule="exact"/>
        <w:ind w:firstLine="560"/>
        <w:rPr>
          <w:sz w:val="28"/>
          <w:szCs w:val="28"/>
        </w:rPr>
      </w:pPr>
      <w:r>
        <w:rPr>
          <w:rFonts w:hint="eastAsia"/>
          <w:sz w:val="28"/>
          <w:szCs w:val="28"/>
        </w:rPr>
        <w:t>1. 项目建成有利于促进区域经济协调发展</w:t>
      </w:r>
    </w:p>
    <w:p w14:paraId="02B8BDE4">
      <w:pPr>
        <w:pageBreakBefore w:val="0"/>
        <w:kinsoku/>
        <w:wordWrap/>
        <w:overflowPunct/>
        <w:topLinePunct w:val="0"/>
        <w:autoSpaceDE/>
        <w:autoSpaceDN/>
        <w:bidi w:val="0"/>
        <w:spacing w:line="540" w:lineRule="exact"/>
        <w:ind w:firstLine="560"/>
        <w:rPr>
          <w:sz w:val="28"/>
          <w:szCs w:val="28"/>
        </w:rPr>
      </w:pPr>
      <w:r>
        <w:rPr>
          <w:rFonts w:hint="eastAsia"/>
          <w:sz w:val="28"/>
          <w:szCs w:val="28"/>
        </w:rPr>
        <w:t>专精特新中小企业是区域经济发展的重要推动力。本项目建成后有利于培育和支持这些企业，有助于推动当地经济的发展，提升区域产业竞争力，并且有利于缩小地区间的发展差距，促进本市经济平衡和协调发展。</w:t>
      </w:r>
    </w:p>
    <w:p w14:paraId="0F37155F">
      <w:pPr>
        <w:pageBreakBefore w:val="0"/>
        <w:kinsoku/>
        <w:wordWrap/>
        <w:overflowPunct/>
        <w:topLinePunct w:val="0"/>
        <w:autoSpaceDE/>
        <w:autoSpaceDN/>
        <w:bidi w:val="0"/>
        <w:spacing w:line="540" w:lineRule="exact"/>
        <w:ind w:firstLine="560"/>
        <w:rPr>
          <w:sz w:val="28"/>
          <w:szCs w:val="28"/>
        </w:rPr>
      </w:pPr>
      <w:r>
        <w:rPr>
          <w:rFonts w:hint="eastAsia"/>
          <w:sz w:val="28"/>
          <w:szCs w:val="28"/>
        </w:rPr>
        <w:t>2. 项目建设有利于推动社会创业氛围，创造就业机会</w:t>
      </w:r>
    </w:p>
    <w:p w14:paraId="4AA5FDA3">
      <w:pPr>
        <w:pageBreakBefore w:val="0"/>
        <w:kinsoku/>
        <w:wordWrap/>
        <w:overflowPunct/>
        <w:topLinePunct w:val="0"/>
        <w:autoSpaceDE/>
        <w:autoSpaceDN/>
        <w:bidi w:val="0"/>
        <w:spacing w:line="540" w:lineRule="exact"/>
        <w:ind w:firstLine="560"/>
        <w:rPr>
          <w:sz w:val="28"/>
          <w:szCs w:val="28"/>
        </w:rPr>
      </w:pPr>
      <w:r>
        <w:rPr>
          <w:rFonts w:hint="eastAsia"/>
          <w:sz w:val="28"/>
          <w:szCs w:val="28"/>
        </w:rPr>
        <w:t>本项目建成后为创业者提供了良好的创业环境和支持服务，有助于激发社会创业热情，推动社会创业氛围的形成和发展，并且专精特新中小企业的培育和发展为当地创造了大量就业机会。</w:t>
      </w:r>
    </w:p>
    <w:p w14:paraId="121751DC">
      <w:pPr>
        <w:pageBreakBefore w:val="0"/>
        <w:kinsoku/>
        <w:wordWrap/>
        <w:overflowPunct/>
        <w:topLinePunct w:val="0"/>
        <w:autoSpaceDE/>
        <w:autoSpaceDN/>
        <w:bidi w:val="0"/>
        <w:spacing w:line="540" w:lineRule="exact"/>
        <w:ind w:firstLine="643"/>
        <w:outlineLvl w:val="0"/>
        <w:rPr>
          <w:rFonts w:cs="仿宋"/>
          <w:b/>
          <w:bCs/>
          <w:szCs w:val="32"/>
        </w:rPr>
      </w:pPr>
      <w:r>
        <w:rPr>
          <w:rFonts w:hint="eastAsia" w:cs="仿宋"/>
          <w:b/>
          <w:bCs/>
          <w:szCs w:val="32"/>
        </w:rPr>
        <w:t>三、项目投资估算及资金筹措方案</w:t>
      </w:r>
    </w:p>
    <w:p w14:paraId="22AA20BC">
      <w:pPr>
        <w:pageBreakBefore w:val="0"/>
        <w:kinsoku/>
        <w:wordWrap/>
        <w:overflowPunct/>
        <w:topLinePunct w:val="0"/>
        <w:autoSpaceDE/>
        <w:autoSpaceDN/>
        <w:bidi w:val="0"/>
        <w:spacing w:line="540" w:lineRule="exact"/>
        <w:ind w:firstLine="643"/>
        <w:outlineLvl w:val="1"/>
        <w:rPr>
          <w:rFonts w:cs="仿宋"/>
          <w:b/>
          <w:szCs w:val="32"/>
        </w:rPr>
      </w:pPr>
      <w:r>
        <w:rPr>
          <w:rFonts w:hint="eastAsia" w:cs="仿宋"/>
          <w:b/>
          <w:szCs w:val="32"/>
        </w:rPr>
        <w:t>（一）投资估算</w:t>
      </w:r>
    </w:p>
    <w:p w14:paraId="33B2BB49">
      <w:pPr>
        <w:pageBreakBefore w:val="0"/>
        <w:kinsoku/>
        <w:wordWrap/>
        <w:overflowPunct/>
        <w:topLinePunct w:val="0"/>
        <w:autoSpaceDE/>
        <w:autoSpaceDN/>
        <w:bidi w:val="0"/>
        <w:spacing w:line="540" w:lineRule="exact"/>
        <w:ind w:firstLine="560"/>
        <w:rPr>
          <w:sz w:val="28"/>
          <w:szCs w:val="28"/>
        </w:rPr>
      </w:pPr>
      <w:r>
        <w:rPr>
          <w:rFonts w:hint="eastAsia"/>
          <w:sz w:val="28"/>
          <w:szCs w:val="28"/>
        </w:rPr>
        <w:t>本项目总投资估算为58,800.00万元，建筑安装工程费用44,275.25万元，工程建设其它费用7,275.22万元，预备费4,315.00万元，建设期利息2,934.53 万元。</w:t>
      </w:r>
    </w:p>
    <w:p w14:paraId="4B67611B">
      <w:pPr>
        <w:pageBreakBefore w:val="0"/>
        <w:kinsoku/>
        <w:wordWrap/>
        <w:overflowPunct/>
        <w:topLinePunct w:val="0"/>
        <w:autoSpaceDE/>
        <w:autoSpaceDN/>
        <w:bidi w:val="0"/>
        <w:spacing w:line="540" w:lineRule="exact"/>
        <w:ind w:firstLine="643"/>
        <w:outlineLvl w:val="1"/>
        <w:rPr>
          <w:rFonts w:cs="仿宋"/>
          <w:b/>
          <w:szCs w:val="32"/>
        </w:rPr>
      </w:pPr>
      <w:r>
        <w:rPr>
          <w:rFonts w:hint="eastAsia" w:cs="仿宋"/>
          <w:b/>
          <w:szCs w:val="32"/>
        </w:rPr>
        <w:t>（二）资金筹措方案</w:t>
      </w:r>
    </w:p>
    <w:p w14:paraId="40715EC0">
      <w:pPr>
        <w:pageBreakBefore w:val="0"/>
        <w:kinsoku/>
        <w:wordWrap/>
        <w:overflowPunct/>
        <w:topLinePunct w:val="0"/>
        <w:autoSpaceDE/>
        <w:autoSpaceDN/>
        <w:bidi w:val="0"/>
        <w:spacing w:line="540" w:lineRule="exact"/>
        <w:ind w:firstLine="643"/>
        <w:outlineLvl w:val="2"/>
        <w:rPr>
          <w:rFonts w:cs="仿宋"/>
          <w:b/>
          <w:szCs w:val="32"/>
        </w:rPr>
      </w:pPr>
      <w:r>
        <w:rPr>
          <w:rFonts w:hint="eastAsia" w:cs="仿宋"/>
          <w:b/>
          <w:szCs w:val="32"/>
        </w:rPr>
        <w:t>1.资金筹集情况</w:t>
      </w:r>
    </w:p>
    <w:p w14:paraId="632B100D">
      <w:pPr>
        <w:pageBreakBefore w:val="0"/>
        <w:kinsoku/>
        <w:wordWrap/>
        <w:overflowPunct/>
        <w:topLinePunct w:val="0"/>
        <w:autoSpaceDE/>
        <w:autoSpaceDN/>
        <w:bidi w:val="0"/>
        <w:spacing w:line="540" w:lineRule="exact"/>
        <w:ind w:firstLine="560"/>
        <w:rPr>
          <w:sz w:val="28"/>
          <w:szCs w:val="28"/>
        </w:rPr>
      </w:pPr>
      <w:r>
        <w:rPr>
          <w:rFonts w:hint="eastAsia"/>
          <w:sz w:val="28"/>
          <w:szCs w:val="28"/>
        </w:rPr>
        <w:t>本项目估算总投资58,800.00万元，其中企业自筹13,800.00万元，占项目总投资的23.47%；专项债券资金27,000.00 万元，占项目总投资的45.92%；市场化融资资金18,000.00 万元，占项目总投资的30.61%。</w:t>
      </w:r>
    </w:p>
    <w:p w14:paraId="5A4F1F8F">
      <w:pPr>
        <w:pageBreakBefore w:val="0"/>
        <w:kinsoku/>
        <w:wordWrap/>
        <w:overflowPunct/>
        <w:topLinePunct w:val="0"/>
        <w:autoSpaceDE/>
        <w:autoSpaceDN/>
        <w:bidi w:val="0"/>
        <w:spacing w:line="540" w:lineRule="exact"/>
        <w:ind w:firstLine="643"/>
        <w:outlineLvl w:val="2"/>
        <w:rPr>
          <w:rFonts w:cs="仿宋"/>
          <w:b/>
          <w:szCs w:val="32"/>
        </w:rPr>
      </w:pPr>
      <w:r>
        <w:rPr>
          <w:rFonts w:hint="eastAsia" w:cs="仿宋"/>
          <w:b/>
          <w:szCs w:val="32"/>
        </w:rPr>
        <w:t>2.资金使用计划</w:t>
      </w:r>
    </w:p>
    <w:p w14:paraId="49DC6DC2">
      <w:pPr>
        <w:pageBreakBefore w:val="0"/>
        <w:kinsoku/>
        <w:wordWrap/>
        <w:overflowPunct/>
        <w:topLinePunct w:val="0"/>
        <w:autoSpaceDE/>
        <w:autoSpaceDN/>
        <w:bidi w:val="0"/>
        <w:spacing w:line="540" w:lineRule="exact"/>
        <w:ind w:firstLine="560"/>
        <w:rPr>
          <w:sz w:val="28"/>
          <w:szCs w:val="28"/>
        </w:rPr>
      </w:pPr>
      <w:r>
        <w:rPr>
          <w:rFonts w:hint="eastAsia"/>
          <w:sz w:val="28"/>
          <w:szCs w:val="28"/>
        </w:rPr>
        <w:t>本项目建设期24个月，根据项目建设计划,资金分年投入。</w:t>
      </w:r>
    </w:p>
    <w:p w14:paraId="5D24D684">
      <w:pPr>
        <w:pageBreakBefore w:val="0"/>
        <w:kinsoku/>
        <w:wordWrap/>
        <w:overflowPunct/>
        <w:topLinePunct w:val="0"/>
        <w:autoSpaceDE/>
        <w:autoSpaceDN/>
        <w:bidi w:val="0"/>
        <w:spacing w:line="540" w:lineRule="exact"/>
        <w:ind w:firstLine="0" w:firstLineChars="0"/>
        <w:jc w:val="center"/>
        <w:outlineLvl w:val="1"/>
        <w:rPr>
          <w:rFonts w:cs="仿宋"/>
          <w:b/>
          <w:bCs/>
          <w:sz w:val="30"/>
          <w:szCs w:val="30"/>
        </w:rPr>
      </w:pPr>
      <w:r>
        <w:rPr>
          <w:rFonts w:hint="eastAsia" w:cs="仿宋"/>
          <w:b/>
          <w:bCs/>
          <w:sz w:val="30"/>
          <w:szCs w:val="30"/>
        </w:rPr>
        <w:t>资金使用及筹措计划表</w:t>
      </w:r>
    </w:p>
    <w:p w14:paraId="0FE19C0C">
      <w:pPr>
        <w:pageBreakBefore w:val="0"/>
        <w:kinsoku/>
        <w:wordWrap/>
        <w:overflowPunct/>
        <w:topLinePunct w:val="0"/>
        <w:autoSpaceDE/>
        <w:autoSpaceDN/>
        <w:bidi w:val="0"/>
        <w:snapToGrid w:val="0"/>
        <w:spacing w:before="435" w:beforeLines="100" w:line="540" w:lineRule="exact"/>
        <w:ind w:firstLine="480"/>
        <w:jc w:val="right"/>
        <w:outlineLvl w:val="0"/>
        <w:rPr>
          <w:rFonts w:eastAsia="PMingLiU" w:cs="仿宋"/>
          <w:sz w:val="24"/>
          <w:szCs w:val="24"/>
          <w:lang w:val="zh-TW" w:eastAsia="zh-TW"/>
        </w:rPr>
      </w:pPr>
      <w:r>
        <w:rPr>
          <w:rFonts w:hint="eastAsia" w:cs="仿宋"/>
          <w:sz w:val="24"/>
          <w:szCs w:val="24"/>
          <w:lang w:val="zh-TW" w:eastAsia="zh-TW"/>
        </w:rPr>
        <w:t>单位：万元</w:t>
      </w:r>
    </w:p>
    <w:tbl>
      <w:tblPr>
        <w:tblStyle w:val="18"/>
        <w:tblW w:w="5000" w:type="pct"/>
        <w:tblInd w:w="0" w:type="dxa"/>
        <w:shd w:val="clear" w:color="auto" w:fill="FFFFFF" w:themeFill="background1"/>
        <w:tblLayout w:type="autofit"/>
        <w:tblCellMar>
          <w:top w:w="0" w:type="dxa"/>
          <w:left w:w="108" w:type="dxa"/>
          <w:bottom w:w="0" w:type="dxa"/>
          <w:right w:w="108" w:type="dxa"/>
        </w:tblCellMar>
      </w:tblPr>
      <w:tblGrid>
        <w:gridCol w:w="662"/>
        <w:gridCol w:w="3250"/>
        <w:gridCol w:w="1287"/>
        <w:gridCol w:w="1198"/>
        <w:gridCol w:w="1376"/>
        <w:gridCol w:w="1287"/>
      </w:tblGrid>
      <w:tr w14:paraId="38DAE8DD">
        <w:tblPrEx>
          <w:shd w:val="clear" w:color="auto" w:fill="FFFFFF" w:themeFill="background1"/>
          <w:tblCellMar>
            <w:top w:w="0" w:type="dxa"/>
            <w:left w:w="108" w:type="dxa"/>
            <w:bottom w:w="0" w:type="dxa"/>
            <w:right w:w="108" w:type="dxa"/>
          </w:tblCellMar>
        </w:tblPrEx>
        <w:tc>
          <w:tcPr>
            <w:tcW w:w="366" w:type="pct"/>
            <w:vMerge w:val="restart"/>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548CD4DF">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cs="仿宋"/>
                <w:kern w:val="0"/>
                <w:sz w:val="20"/>
                <w:szCs w:val="20"/>
                <w:lang w:bidi="ar"/>
              </w:rPr>
            </w:pPr>
            <w:r>
              <w:rPr>
                <w:rFonts w:hint="eastAsia" w:cs="仿宋"/>
                <w:kern w:val="0"/>
                <w:sz w:val="20"/>
                <w:szCs w:val="20"/>
                <w:lang w:bidi="ar"/>
              </w:rPr>
              <w:t>序号</w:t>
            </w:r>
          </w:p>
        </w:tc>
        <w:tc>
          <w:tcPr>
            <w:tcW w:w="1792" w:type="pct"/>
            <w:vMerge w:val="restart"/>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74930487">
            <w:pPr>
              <w:pageBreakBefore w:val="0"/>
              <w:widowControl/>
              <w:kinsoku/>
              <w:wordWrap/>
              <w:overflowPunct/>
              <w:topLinePunct w:val="0"/>
              <w:autoSpaceDE/>
              <w:autoSpaceDN/>
              <w:bidi w:val="0"/>
              <w:spacing w:line="540" w:lineRule="exact"/>
              <w:ind w:firstLine="0" w:firstLineChars="0"/>
              <w:jc w:val="center"/>
              <w:rPr>
                <w:rFonts w:hint="eastAsia" w:cs="仿宋"/>
                <w:kern w:val="0"/>
                <w:sz w:val="20"/>
                <w:szCs w:val="20"/>
                <w:lang w:bidi="ar"/>
              </w:rPr>
            </w:pPr>
            <w:r>
              <w:rPr>
                <w:rFonts w:hint="eastAsia" w:cs="仿宋"/>
                <w:kern w:val="0"/>
                <w:sz w:val="20"/>
                <w:szCs w:val="20"/>
                <w:lang w:bidi="ar"/>
              </w:rPr>
              <w:t>项　　目</w:t>
            </w:r>
          </w:p>
        </w:tc>
        <w:tc>
          <w:tcPr>
            <w:tcW w:w="710" w:type="pct"/>
            <w:vMerge w:val="restart"/>
            <w:tcBorders>
              <w:top w:val="single" w:color="auto" w:sz="4" w:space="0"/>
              <w:left w:val="single" w:color="auto" w:sz="4" w:space="0"/>
              <w:bottom w:val="single" w:color="000000" w:sz="4" w:space="0"/>
              <w:right w:val="single" w:color="auto" w:sz="4" w:space="0"/>
            </w:tcBorders>
            <w:shd w:val="clear" w:color="auto" w:fill="FFFFFF" w:themeFill="background1"/>
            <w:noWrap/>
            <w:vAlign w:val="center"/>
          </w:tcPr>
          <w:p w14:paraId="2C734045">
            <w:pPr>
              <w:pageBreakBefore w:val="0"/>
              <w:widowControl/>
              <w:kinsoku/>
              <w:wordWrap/>
              <w:overflowPunct/>
              <w:topLinePunct w:val="0"/>
              <w:autoSpaceDE/>
              <w:autoSpaceDN/>
              <w:bidi w:val="0"/>
              <w:spacing w:line="540" w:lineRule="exact"/>
              <w:ind w:firstLine="0" w:firstLineChars="0"/>
              <w:jc w:val="center"/>
              <w:rPr>
                <w:rFonts w:hint="eastAsia" w:cs="仿宋"/>
                <w:kern w:val="0"/>
                <w:sz w:val="20"/>
                <w:szCs w:val="20"/>
                <w:lang w:bidi="ar"/>
              </w:rPr>
            </w:pPr>
            <w:r>
              <w:rPr>
                <w:rFonts w:hint="eastAsia" w:cs="仿宋"/>
                <w:kern w:val="0"/>
                <w:sz w:val="20"/>
                <w:szCs w:val="20"/>
                <w:lang w:bidi="ar"/>
              </w:rPr>
              <w:t>合计</w:t>
            </w:r>
          </w:p>
        </w:tc>
        <w:tc>
          <w:tcPr>
            <w:tcW w:w="2131" w:type="pct"/>
            <w:gridSpan w:val="3"/>
            <w:tcBorders>
              <w:top w:val="single" w:color="auto" w:sz="4" w:space="0"/>
              <w:left w:val="nil"/>
              <w:bottom w:val="single" w:color="auto" w:sz="4" w:space="0"/>
              <w:right w:val="single" w:color="auto" w:sz="4" w:space="0"/>
            </w:tcBorders>
            <w:shd w:val="clear" w:color="auto" w:fill="FFFFFF" w:themeFill="background1"/>
            <w:noWrap/>
            <w:vAlign w:val="center"/>
          </w:tcPr>
          <w:p w14:paraId="369743EA">
            <w:pPr>
              <w:pageBreakBefore w:val="0"/>
              <w:widowControl/>
              <w:kinsoku/>
              <w:wordWrap/>
              <w:overflowPunct/>
              <w:topLinePunct w:val="0"/>
              <w:autoSpaceDE/>
              <w:autoSpaceDN/>
              <w:bidi w:val="0"/>
              <w:spacing w:line="540" w:lineRule="exact"/>
              <w:ind w:firstLine="0" w:firstLineChars="0"/>
              <w:jc w:val="center"/>
              <w:rPr>
                <w:rFonts w:hint="eastAsia" w:cs="仿宋"/>
                <w:kern w:val="0"/>
                <w:sz w:val="20"/>
                <w:szCs w:val="20"/>
                <w:lang w:bidi="ar"/>
              </w:rPr>
            </w:pPr>
            <w:r>
              <w:rPr>
                <w:rFonts w:hint="eastAsia" w:cs="仿宋"/>
                <w:kern w:val="0"/>
                <w:sz w:val="20"/>
                <w:szCs w:val="20"/>
                <w:lang w:bidi="ar"/>
              </w:rPr>
              <w:t>建设期</w:t>
            </w:r>
          </w:p>
        </w:tc>
      </w:tr>
      <w:tr w14:paraId="6CE9EF5C">
        <w:tblPrEx>
          <w:tblCellMar>
            <w:top w:w="0" w:type="dxa"/>
            <w:left w:w="108" w:type="dxa"/>
            <w:bottom w:w="0" w:type="dxa"/>
            <w:right w:w="108" w:type="dxa"/>
          </w:tblCellMar>
        </w:tblPrEx>
        <w:tc>
          <w:tcPr>
            <w:tcW w:w="366" w:type="pct"/>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EBDAD22">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cs="仿宋"/>
                <w:kern w:val="0"/>
                <w:sz w:val="20"/>
                <w:szCs w:val="20"/>
                <w:lang w:bidi="ar"/>
              </w:rPr>
            </w:pPr>
          </w:p>
        </w:tc>
        <w:tc>
          <w:tcPr>
            <w:tcW w:w="1792" w:type="pct"/>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7ACC72DC">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cs="仿宋"/>
                <w:kern w:val="0"/>
                <w:sz w:val="20"/>
                <w:szCs w:val="20"/>
                <w:lang w:bidi="ar"/>
              </w:rPr>
            </w:pPr>
          </w:p>
        </w:tc>
        <w:tc>
          <w:tcPr>
            <w:tcW w:w="710" w:type="pct"/>
            <w:vMerge w:val="continue"/>
            <w:tcBorders>
              <w:top w:val="single" w:color="auto" w:sz="4" w:space="0"/>
              <w:left w:val="single" w:color="auto" w:sz="4" w:space="0"/>
              <w:bottom w:val="single" w:color="000000" w:sz="4" w:space="0"/>
              <w:right w:val="single" w:color="auto" w:sz="4" w:space="0"/>
            </w:tcBorders>
            <w:shd w:val="clear" w:color="auto" w:fill="FFFFFF" w:themeFill="background1"/>
            <w:vAlign w:val="center"/>
          </w:tcPr>
          <w:p w14:paraId="5A533E59">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cs="仿宋"/>
                <w:kern w:val="0"/>
                <w:sz w:val="20"/>
                <w:szCs w:val="20"/>
                <w:lang w:bidi="ar"/>
              </w:rPr>
            </w:pPr>
          </w:p>
        </w:tc>
        <w:tc>
          <w:tcPr>
            <w:tcW w:w="661" w:type="pct"/>
            <w:tcBorders>
              <w:top w:val="nil"/>
              <w:left w:val="nil"/>
              <w:bottom w:val="single" w:color="auto" w:sz="4" w:space="0"/>
              <w:right w:val="single" w:color="auto" w:sz="4" w:space="0"/>
            </w:tcBorders>
            <w:shd w:val="clear" w:color="auto" w:fill="FFFFFF" w:themeFill="background1"/>
            <w:noWrap/>
            <w:vAlign w:val="center"/>
          </w:tcPr>
          <w:p w14:paraId="030FFCC2">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2025(3-12)</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60B0EF1B">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2026</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0671CFB1">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2027(1-2)</w:t>
            </w:r>
          </w:p>
        </w:tc>
      </w:tr>
      <w:tr w14:paraId="62A834AC">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693C0262">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一</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29B8D237">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总投资</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061F6CFA">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58,800.00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78652712">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24,400.00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353BEAB5">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29,400.00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0D6F9F50">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5,000.00 </w:t>
            </w:r>
          </w:p>
        </w:tc>
      </w:tr>
      <w:tr w14:paraId="5AC1462E">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30A70433">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1</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223C023E">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建设投资</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149E55F3">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55,865.47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439783E3">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23,684.71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5C56A636">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27,522.35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260FD20E">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4,658.41 </w:t>
            </w:r>
          </w:p>
        </w:tc>
      </w:tr>
      <w:tr w14:paraId="08B72541">
        <w:tblPrEx>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040D1C27">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1.1</w:t>
            </w:r>
          </w:p>
        </w:tc>
        <w:tc>
          <w:tcPr>
            <w:tcW w:w="1792" w:type="pct"/>
            <w:tcBorders>
              <w:top w:val="single" w:color="auto" w:sz="4" w:space="0"/>
              <w:left w:val="nil"/>
              <w:bottom w:val="single" w:color="auto" w:sz="4" w:space="0"/>
              <w:right w:val="single" w:color="000000" w:sz="4" w:space="0"/>
            </w:tcBorders>
            <w:shd w:val="clear" w:color="auto" w:fill="FFFFFF" w:themeFill="background1"/>
            <w:noWrap/>
            <w:vAlign w:val="center"/>
          </w:tcPr>
          <w:p w14:paraId="1F338A93">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债券资金用于建设投资</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6EB12885">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27,000.00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486E9EFD">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11,200.00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4A18ABD3">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13,500.00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06330287">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2,300.00 </w:t>
            </w:r>
          </w:p>
        </w:tc>
      </w:tr>
      <w:tr w14:paraId="4CBE1A45">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4241E759">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1.2</w:t>
            </w:r>
          </w:p>
        </w:tc>
        <w:tc>
          <w:tcPr>
            <w:tcW w:w="1792" w:type="pct"/>
            <w:tcBorders>
              <w:top w:val="single" w:color="auto" w:sz="4" w:space="0"/>
              <w:left w:val="nil"/>
              <w:bottom w:val="single" w:color="auto" w:sz="4" w:space="0"/>
              <w:right w:val="single" w:color="000000" w:sz="4" w:space="0"/>
            </w:tcBorders>
            <w:shd w:val="clear" w:color="auto" w:fill="FFFFFF" w:themeFill="background1"/>
            <w:noWrap/>
            <w:vAlign w:val="center"/>
          </w:tcPr>
          <w:p w14:paraId="116411EC">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市场化融资用于建设投资</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33A2C778">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18,000.00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282B17BB">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7,500.00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46FC1165">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9,000.00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71A1F24A">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1,500.00 </w:t>
            </w:r>
          </w:p>
        </w:tc>
      </w:tr>
      <w:tr w14:paraId="38D22C07">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2DCD39C1">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1.3</w:t>
            </w:r>
          </w:p>
        </w:tc>
        <w:tc>
          <w:tcPr>
            <w:tcW w:w="1792" w:type="pct"/>
            <w:tcBorders>
              <w:top w:val="single" w:color="auto" w:sz="4" w:space="0"/>
              <w:left w:val="nil"/>
              <w:bottom w:val="single" w:color="auto" w:sz="4" w:space="0"/>
              <w:right w:val="single" w:color="000000" w:sz="4" w:space="0"/>
            </w:tcBorders>
            <w:shd w:val="clear" w:color="auto" w:fill="FFFFFF" w:themeFill="background1"/>
            <w:noWrap/>
            <w:vAlign w:val="center"/>
          </w:tcPr>
          <w:p w14:paraId="3FDA8857">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资本金（不含债券资金）用于建设投资</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48F482E5">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10,865.47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3F0AA6DB">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4,984.71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2D5432F1">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5,022.35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629721D1">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858.41 </w:t>
            </w:r>
          </w:p>
        </w:tc>
      </w:tr>
      <w:tr w14:paraId="4FBAA8C8">
        <w:tblPrEx>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1DF6ECDC">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w:t>
            </w:r>
          </w:p>
        </w:tc>
        <w:tc>
          <w:tcPr>
            <w:tcW w:w="1792" w:type="pct"/>
            <w:tcBorders>
              <w:top w:val="single" w:color="auto" w:sz="4" w:space="0"/>
              <w:left w:val="nil"/>
              <w:bottom w:val="single" w:color="auto" w:sz="4" w:space="0"/>
              <w:right w:val="single" w:color="000000" w:sz="4" w:space="0"/>
            </w:tcBorders>
            <w:shd w:val="clear" w:color="auto" w:fill="FFFFFF" w:themeFill="background1"/>
            <w:noWrap/>
            <w:vAlign w:val="center"/>
          </w:tcPr>
          <w:p w14:paraId="20D13FD1">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建设期财务费用</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1F98C185">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2,912.93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3139CAAE">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706.33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60B8CACD">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1,866.85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1B0CF54E">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339.75 </w:t>
            </w:r>
          </w:p>
        </w:tc>
      </w:tr>
      <w:tr w14:paraId="02271AD3">
        <w:tblPrEx>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30E1CF68">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2.1</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6312BFFB">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资本金用于建设期债券付息</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7B90A7A3">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1,367.93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6807FB7D">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331.33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22795D0D">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876.85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4961E577">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159.75 </w:t>
            </w:r>
          </w:p>
        </w:tc>
      </w:tr>
      <w:tr w14:paraId="483DB2D2">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70D69902">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2.1.1</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1421AC6A">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2025(3-12)发行11200万元</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77E7C9F8">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795.20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35D28FF7">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331.33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6CCBE938">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397.60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3E35BDBC">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66.27 </w:t>
            </w:r>
          </w:p>
        </w:tc>
      </w:tr>
      <w:tr w14:paraId="50FDBEEE">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79642D11">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2.1.2</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2D57C688">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2026发行13500万元</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77F5806C">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559.13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7B7A0CC2">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1F632914">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479.25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5E86E2EC">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79.88 </w:t>
            </w:r>
          </w:p>
        </w:tc>
      </w:tr>
      <w:tr w14:paraId="1D3F7923">
        <w:tblPrEx>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0C07BCFD">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2.1.3</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55E2B698">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2027(1-2)发行2300万元</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39AE94A9">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13.61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3F8387C4">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796337DC">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764C840A">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13.61 </w:t>
            </w:r>
          </w:p>
        </w:tc>
      </w:tr>
      <w:tr w14:paraId="1AB2BA59">
        <w:tblPrEx>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27FA7DB3">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2.2</w:t>
            </w:r>
          </w:p>
        </w:tc>
        <w:tc>
          <w:tcPr>
            <w:tcW w:w="1792" w:type="pct"/>
            <w:tcBorders>
              <w:top w:val="single" w:color="auto" w:sz="4" w:space="0"/>
              <w:left w:val="nil"/>
              <w:bottom w:val="single" w:color="auto" w:sz="4" w:space="0"/>
              <w:right w:val="single" w:color="000000" w:sz="4" w:space="0"/>
            </w:tcBorders>
            <w:shd w:val="clear" w:color="auto" w:fill="FFFFFF" w:themeFill="background1"/>
            <w:noWrap/>
            <w:vAlign w:val="center"/>
          </w:tcPr>
          <w:p w14:paraId="351AF282">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资本金用于建设期市场化融资利息</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34D75A53">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1,545.00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234B8407">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375.00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54B8BC1D">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990.00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030CD5FA">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180.00 </w:t>
            </w:r>
          </w:p>
        </w:tc>
      </w:tr>
      <w:tr w14:paraId="3B28B154">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713F8060">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2.2.1</w:t>
            </w:r>
          </w:p>
        </w:tc>
        <w:tc>
          <w:tcPr>
            <w:tcW w:w="1792" w:type="pct"/>
            <w:tcBorders>
              <w:top w:val="single" w:color="auto" w:sz="4" w:space="0"/>
              <w:left w:val="nil"/>
              <w:bottom w:val="single" w:color="auto" w:sz="4" w:space="0"/>
              <w:right w:val="single" w:color="000000" w:sz="4" w:space="0"/>
            </w:tcBorders>
            <w:shd w:val="clear" w:color="auto" w:fill="FFFFFF" w:themeFill="background1"/>
            <w:noWrap/>
            <w:vAlign w:val="center"/>
          </w:tcPr>
          <w:p w14:paraId="1B890C70">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2025(3-12)融资7500万元</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3AE86022">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900.00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34873653">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375.00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016CCCCC">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450.00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0CD73DA8">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75.00 </w:t>
            </w:r>
          </w:p>
        </w:tc>
      </w:tr>
      <w:tr w14:paraId="09ED3726">
        <w:tblPrEx>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667461C0">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2.2.2</w:t>
            </w:r>
          </w:p>
        </w:tc>
        <w:tc>
          <w:tcPr>
            <w:tcW w:w="1792" w:type="pct"/>
            <w:tcBorders>
              <w:top w:val="single" w:color="auto" w:sz="4" w:space="0"/>
              <w:left w:val="nil"/>
              <w:bottom w:val="single" w:color="auto" w:sz="4" w:space="0"/>
              <w:right w:val="single" w:color="000000" w:sz="4" w:space="0"/>
            </w:tcBorders>
            <w:shd w:val="clear" w:color="auto" w:fill="FFFFFF" w:themeFill="background1"/>
            <w:noWrap/>
            <w:vAlign w:val="center"/>
          </w:tcPr>
          <w:p w14:paraId="5541A81E">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2026融资9000万元</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032FA3A7">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630.00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2C7750B4">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146E5784">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540.00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4CDBF4D8">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90.00 </w:t>
            </w:r>
          </w:p>
        </w:tc>
      </w:tr>
      <w:tr w14:paraId="4448B99D">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31E53907">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2.2.3</w:t>
            </w:r>
          </w:p>
        </w:tc>
        <w:tc>
          <w:tcPr>
            <w:tcW w:w="1792" w:type="pct"/>
            <w:tcBorders>
              <w:top w:val="single" w:color="auto" w:sz="4" w:space="0"/>
              <w:left w:val="nil"/>
              <w:bottom w:val="single" w:color="auto" w:sz="4" w:space="0"/>
              <w:right w:val="single" w:color="000000" w:sz="4" w:space="0"/>
            </w:tcBorders>
            <w:shd w:val="clear" w:color="auto" w:fill="FFFFFF" w:themeFill="background1"/>
            <w:noWrap/>
            <w:vAlign w:val="center"/>
          </w:tcPr>
          <w:p w14:paraId="4C7544F3">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2027(1-2)融资1500万元</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1D6ED2D2">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15.00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686ECEA1">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6376B599">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4E6D08BB">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15.00 </w:t>
            </w:r>
          </w:p>
        </w:tc>
      </w:tr>
      <w:tr w14:paraId="7D4D4A3E">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340F869F">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3</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024E9E02">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资本金用于债券发行费</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18DD24FE">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21.60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23E86B4E">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8.96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3B1E2EE2">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10.80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1F88354B">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1.84 </w:t>
            </w:r>
          </w:p>
        </w:tc>
      </w:tr>
      <w:tr w14:paraId="255EF345">
        <w:tblPrEx>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08956444">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二</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72E83E54">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资金筹措</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376EAF7B">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58,800.00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0B3DDBD1">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24,400.00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5A050B84">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29,400.00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5CCE7389">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5,000.00 </w:t>
            </w:r>
          </w:p>
        </w:tc>
      </w:tr>
      <w:tr w14:paraId="1B6A7B69">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1C274C65">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1</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0FB4229D">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发行债券</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4368A807">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27,000.00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726138EF">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11,200.00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2327694B">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13,500.00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5DA1496B">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2,300.00 </w:t>
            </w:r>
          </w:p>
        </w:tc>
      </w:tr>
      <w:tr w14:paraId="369D3BF0">
        <w:tblPrEx>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6311A483">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1.1</w:t>
            </w:r>
          </w:p>
        </w:tc>
        <w:tc>
          <w:tcPr>
            <w:tcW w:w="1792" w:type="pct"/>
            <w:tcBorders>
              <w:top w:val="single" w:color="auto" w:sz="4" w:space="0"/>
              <w:left w:val="nil"/>
              <w:bottom w:val="single" w:color="auto" w:sz="4" w:space="0"/>
              <w:right w:val="single" w:color="000000" w:sz="4" w:space="0"/>
            </w:tcBorders>
            <w:shd w:val="clear" w:color="auto" w:fill="FFFFFF" w:themeFill="background1"/>
            <w:noWrap/>
            <w:vAlign w:val="center"/>
          </w:tcPr>
          <w:p w14:paraId="6DC76DB1">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　　其中　用作资本金</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21A69EDD">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10,000.00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471F3F4F">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4,200.00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1C79CD0D">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5,000.00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7D858182">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800.00 </w:t>
            </w:r>
          </w:p>
        </w:tc>
      </w:tr>
      <w:tr w14:paraId="3309CD8F">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153FB4DE">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2</w:t>
            </w:r>
          </w:p>
        </w:tc>
        <w:tc>
          <w:tcPr>
            <w:tcW w:w="1792" w:type="pct"/>
            <w:tcBorders>
              <w:top w:val="single" w:color="auto" w:sz="4" w:space="0"/>
              <w:left w:val="nil"/>
              <w:bottom w:val="single" w:color="auto" w:sz="4" w:space="0"/>
              <w:right w:val="single" w:color="000000" w:sz="4" w:space="0"/>
            </w:tcBorders>
            <w:shd w:val="clear" w:color="auto" w:fill="FFFFFF" w:themeFill="background1"/>
            <w:noWrap/>
            <w:vAlign w:val="center"/>
          </w:tcPr>
          <w:p w14:paraId="60E75773">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市场化融资</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7396718D">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18,000.00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4F857431">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7,500.00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28D51FCC">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9,000.00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5285607A">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1,500.00 </w:t>
            </w:r>
          </w:p>
        </w:tc>
      </w:tr>
      <w:tr w14:paraId="5645522A">
        <w:tblPrEx>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537282D9">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3</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4AE51AEE">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资本金</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7A57A2BB">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23,800.00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27C12B62">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9,900.00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03CD96E2">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11,900.00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4D40E364">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2,000.00 </w:t>
            </w:r>
          </w:p>
        </w:tc>
      </w:tr>
      <w:tr w14:paraId="14EA5AE5">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529CA943">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3.1</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50104EB0">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单位自筹资金</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3E1496B6">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13,800.00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246EB064">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5,700.00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25597C9A">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6,900.00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5DD24E7C">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1,200.00 </w:t>
            </w:r>
          </w:p>
        </w:tc>
      </w:tr>
      <w:tr w14:paraId="35F1DC3A">
        <w:tblPrEx>
          <w:shd w:val="clear" w:color="auto" w:fill="FFFFFF" w:themeFill="background1"/>
          <w:tblCellMar>
            <w:top w:w="0" w:type="dxa"/>
            <w:left w:w="108" w:type="dxa"/>
            <w:bottom w:w="0" w:type="dxa"/>
            <w:right w:w="108" w:type="dxa"/>
          </w:tblCellMar>
        </w:tblPrEx>
        <w:tc>
          <w:tcPr>
            <w:tcW w:w="366" w:type="pct"/>
            <w:tcBorders>
              <w:top w:val="nil"/>
              <w:left w:val="single" w:color="auto" w:sz="4" w:space="0"/>
              <w:bottom w:val="single" w:color="auto" w:sz="4" w:space="0"/>
              <w:right w:val="single" w:color="auto" w:sz="4" w:space="0"/>
            </w:tcBorders>
            <w:shd w:val="clear" w:color="auto" w:fill="FFFFFF" w:themeFill="background1"/>
            <w:noWrap/>
            <w:vAlign w:val="center"/>
          </w:tcPr>
          <w:p w14:paraId="2948817E">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hint="eastAsia" w:cs="仿宋"/>
                <w:kern w:val="0"/>
                <w:sz w:val="20"/>
                <w:szCs w:val="20"/>
                <w:lang w:bidi="ar"/>
              </w:rPr>
            </w:pPr>
            <w:r>
              <w:rPr>
                <w:rFonts w:hint="eastAsia" w:cs="仿宋"/>
                <w:kern w:val="0"/>
                <w:sz w:val="20"/>
                <w:szCs w:val="20"/>
                <w:lang w:bidi="ar"/>
              </w:rPr>
              <w:t>3.2</w:t>
            </w:r>
          </w:p>
        </w:tc>
        <w:tc>
          <w:tcPr>
            <w:tcW w:w="1792" w:type="pct"/>
            <w:tcBorders>
              <w:top w:val="single" w:color="auto" w:sz="4" w:space="0"/>
              <w:left w:val="nil"/>
              <w:bottom w:val="single" w:color="auto" w:sz="4" w:space="0"/>
              <w:right w:val="single" w:color="auto" w:sz="4" w:space="0"/>
            </w:tcBorders>
            <w:shd w:val="clear" w:color="auto" w:fill="FFFFFF" w:themeFill="background1"/>
            <w:noWrap/>
            <w:vAlign w:val="center"/>
          </w:tcPr>
          <w:p w14:paraId="34B58F12">
            <w:pPr>
              <w:pageBreakBefore w:val="0"/>
              <w:widowControl/>
              <w:kinsoku/>
              <w:wordWrap/>
              <w:overflowPunct/>
              <w:topLinePunct w:val="0"/>
              <w:autoSpaceDE/>
              <w:autoSpaceDN/>
              <w:bidi w:val="0"/>
              <w:adjustRightInd w:val="0"/>
              <w:snapToGrid w:val="0"/>
              <w:spacing w:line="540" w:lineRule="exact"/>
              <w:ind w:firstLine="0" w:firstLineChars="0"/>
              <w:jc w:val="left"/>
              <w:textAlignment w:val="center"/>
              <w:rPr>
                <w:rFonts w:hint="eastAsia" w:cs="仿宋"/>
                <w:kern w:val="0"/>
                <w:sz w:val="20"/>
                <w:szCs w:val="20"/>
                <w:lang w:bidi="ar"/>
              </w:rPr>
            </w:pPr>
            <w:r>
              <w:rPr>
                <w:rFonts w:hint="eastAsia" w:cs="仿宋"/>
                <w:kern w:val="0"/>
                <w:sz w:val="20"/>
                <w:szCs w:val="20"/>
                <w:lang w:bidi="ar"/>
              </w:rPr>
              <w:t>债券资金用作资本金</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4DDF4AE5">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10,000.00 </w:t>
            </w:r>
          </w:p>
        </w:tc>
        <w:tc>
          <w:tcPr>
            <w:tcW w:w="661" w:type="pct"/>
            <w:tcBorders>
              <w:top w:val="nil"/>
              <w:left w:val="nil"/>
              <w:bottom w:val="single" w:color="auto" w:sz="4" w:space="0"/>
              <w:right w:val="single" w:color="auto" w:sz="4" w:space="0"/>
            </w:tcBorders>
            <w:shd w:val="clear" w:color="auto" w:fill="FFFFFF" w:themeFill="background1"/>
            <w:noWrap/>
            <w:vAlign w:val="center"/>
          </w:tcPr>
          <w:p w14:paraId="06193C8D">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4,200.00 </w:t>
            </w:r>
          </w:p>
        </w:tc>
        <w:tc>
          <w:tcPr>
            <w:tcW w:w="760" w:type="pct"/>
            <w:tcBorders>
              <w:top w:val="nil"/>
              <w:left w:val="nil"/>
              <w:bottom w:val="single" w:color="auto" w:sz="4" w:space="0"/>
              <w:right w:val="single" w:color="auto" w:sz="4" w:space="0"/>
            </w:tcBorders>
            <w:shd w:val="clear" w:color="auto" w:fill="FFFFFF" w:themeFill="background1"/>
            <w:noWrap/>
            <w:vAlign w:val="center"/>
          </w:tcPr>
          <w:p w14:paraId="489DF92A">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5,000.00 </w:t>
            </w:r>
          </w:p>
        </w:tc>
        <w:tc>
          <w:tcPr>
            <w:tcW w:w="710" w:type="pct"/>
            <w:tcBorders>
              <w:top w:val="nil"/>
              <w:left w:val="nil"/>
              <w:bottom w:val="single" w:color="auto" w:sz="4" w:space="0"/>
              <w:right w:val="single" w:color="auto" w:sz="4" w:space="0"/>
            </w:tcBorders>
            <w:shd w:val="clear" w:color="auto" w:fill="FFFFFF" w:themeFill="background1"/>
            <w:noWrap/>
            <w:vAlign w:val="center"/>
          </w:tcPr>
          <w:p w14:paraId="2DEDA5D7">
            <w:pPr>
              <w:pageBreakBefore w:val="0"/>
              <w:widowControl/>
              <w:kinsoku/>
              <w:wordWrap/>
              <w:overflowPunct/>
              <w:topLinePunct w:val="0"/>
              <w:autoSpaceDE/>
              <w:autoSpaceDN/>
              <w:bidi w:val="0"/>
              <w:adjustRightInd w:val="0"/>
              <w:snapToGrid w:val="0"/>
              <w:spacing w:line="540" w:lineRule="exact"/>
              <w:ind w:firstLine="0" w:firstLineChars="0"/>
              <w:jc w:val="right"/>
              <w:textAlignment w:val="center"/>
              <w:rPr>
                <w:rFonts w:hint="eastAsia" w:cs="仿宋"/>
                <w:kern w:val="0"/>
                <w:sz w:val="20"/>
                <w:szCs w:val="20"/>
                <w:lang w:bidi="ar"/>
              </w:rPr>
            </w:pPr>
            <w:r>
              <w:rPr>
                <w:rFonts w:hint="eastAsia" w:cs="仿宋"/>
                <w:kern w:val="0"/>
                <w:sz w:val="20"/>
                <w:szCs w:val="20"/>
                <w:lang w:bidi="ar"/>
              </w:rPr>
              <w:t xml:space="preserve">      800.00 </w:t>
            </w:r>
          </w:p>
        </w:tc>
      </w:tr>
    </w:tbl>
    <w:p w14:paraId="2821D7D9">
      <w:pPr>
        <w:pageBreakBefore w:val="0"/>
        <w:kinsoku/>
        <w:wordWrap/>
        <w:overflowPunct/>
        <w:topLinePunct w:val="0"/>
        <w:autoSpaceDE/>
        <w:autoSpaceDN/>
        <w:bidi w:val="0"/>
        <w:snapToGrid w:val="0"/>
        <w:spacing w:before="435" w:beforeLines="100" w:line="540" w:lineRule="exact"/>
        <w:ind w:firstLine="643"/>
        <w:outlineLvl w:val="0"/>
        <w:rPr>
          <w:rFonts w:cs="仿宋"/>
          <w:b/>
          <w:bCs/>
          <w:szCs w:val="32"/>
        </w:rPr>
      </w:pPr>
      <w:r>
        <w:rPr>
          <w:rFonts w:hint="eastAsia" w:cs="仿宋"/>
          <w:b/>
          <w:bCs/>
          <w:szCs w:val="32"/>
        </w:rPr>
        <w:t>四、项目预期收益、成本及融资平衡情况</w:t>
      </w:r>
    </w:p>
    <w:p w14:paraId="24DF3255">
      <w:pPr>
        <w:pageBreakBefore w:val="0"/>
        <w:kinsoku/>
        <w:wordWrap/>
        <w:overflowPunct/>
        <w:topLinePunct w:val="0"/>
        <w:autoSpaceDE/>
        <w:autoSpaceDN/>
        <w:bidi w:val="0"/>
        <w:spacing w:line="540" w:lineRule="exact"/>
        <w:ind w:firstLine="643"/>
        <w:rPr>
          <w:rFonts w:cs="仿宋"/>
          <w:b/>
          <w:szCs w:val="32"/>
        </w:rPr>
      </w:pPr>
      <w:r>
        <w:rPr>
          <w:rFonts w:hint="eastAsia" w:cs="仿宋"/>
          <w:b/>
          <w:szCs w:val="32"/>
        </w:rPr>
        <w:t>（一）预期收益</w:t>
      </w:r>
    </w:p>
    <w:p w14:paraId="6BBFBA5D">
      <w:pPr>
        <w:pageBreakBefore w:val="0"/>
        <w:kinsoku/>
        <w:wordWrap/>
        <w:overflowPunct/>
        <w:topLinePunct w:val="0"/>
        <w:autoSpaceDE/>
        <w:autoSpaceDN/>
        <w:bidi w:val="0"/>
        <w:spacing w:line="540" w:lineRule="exact"/>
        <w:ind w:firstLine="643"/>
        <w:rPr>
          <w:rFonts w:cs="仿宋"/>
          <w:b/>
          <w:szCs w:val="32"/>
        </w:rPr>
      </w:pPr>
      <w:r>
        <w:rPr>
          <w:rFonts w:hint="eastAsia" w:cs="仿宋"/>
          <w:b/>
          <w:szCs w:val="32"/>
        </w:rPr>
        <w:t>1.项目收入</w:t>
      </w:r>
    </w:p>
    <w:p w14:paraId="1204D6CD">
      <w:pPr>
        <w:pageBreakBefore w:val="0"/>
        <w:kinsoku/>
        <w:wordWrap/>
        <w:overflowPunct/>
        <w:topLinePunct w:val="0"/>
        <w:autoSpaceDE/>
        <w:autoSpaceDN/>
        <w:bidi w:val="0"/>
        <w:spacing w:line="540" w:lineRule="exact"/>
        <w:ind w:firstLine="560"/>
        <w:rPr>
          <w:sz w:val="28"/>
          <w:szCs w:val="28"/>
        </w:rPr>
      </w:pPr>
      <w:r>
        <w:rPr>
          <w:rFonts w:hint="eastAsia"/>
          <w:sz w:val="28"/>
          <w:szCs w:val="28"/>
        </w:rPr>
        <w:t>本项目测算的收入主要包括厂房租赁收入、停车位收入、充电桩收入收入、配套用房租赁收入、广告牌租赁收入、物业管理费收入，总收入121,133.38万元。</w:t>
      </w:r>
    </w:p>
    <w:p w14:paraId="65426904">
      <w:pPr>
        <w:pageBreakBefore w:val="0"/>
        <w:kinsoku/>
        <w:wordWrap/>
        <w:overflowPunct/>
        <w:topLinePunct w:val="0"/>
        <w:autoSpaceDE/>
        <w:autoSpaceDN/>
        <w:bidi w:val="0"/>
        <w:spacing w:line="540" w:lineRule="exact"/>
        <w:ind w:firstLine="643"/>
        <w:rPr>
          <w:rFonts w:cs="仿宋"/>
          <w:b/>
          <w:szCs w:val="32"/>
        </w:rPr>
      </w:pPr>
      <w:r>
        <w:rPr>
          <w:rFonts w:hint="eastAsia" w:cs="仿宋"/>
          <w:b/>
          <w:szCs w:val="32"/>
        </w:rPr>
        <w:t>2.项目成本</w:t>
      </w:r>
    </w:p>
    <w:p w14:paraId="706DB64B">
      <w:pPr>
        <w:pageBreakBefore w:val="0"/>
        <w:kinsoku/>
        <w:wordWrap/>
        <w:overflowPunct/>
        <w:topLinePunct w:val="0"/>
        <w:autoSpaceDE/>
        <w:autoSpaceDN/>
        <w:bidi w:val="0"/>
        <w:spacing w:line="540" w:lineRule="exact"/>
        <w:ind w:firstLine="560"/>
        <w:rPr>
          <w:sz w:val="28"/>
          <w:szCs w:val="28"/>
        </w:rPr>
      </w:pPr>
      <w:r>
        <w:rPr>
          <w:rFonts w:hint="eastAsia"/>
          <w:sz w:val="28"/>
          <w:szCs w:val="28"/>
        </w:rPr>
        <w:t>项目成本主要包括经营成本和其他成本，其中经营成本包括工资及福利费、充电桩燃动力费、管理成本、外购燃动力费成本、设施设备修理费，其他成本包括财务费用及固定资产折旧总成本77,574.13万元。</w:t>
      </w:r>
    </w:p>
    <w:p w14:paraId="0E9BD5FD">
      <w:pPr>
        <w:pageBreakBefore w:val="0"/>
        <w:kinsoku/>
        <w:wordWrap/>
        <w:overflowPunct/>
        <w:topLinePunct w:val="0"/>
        <w:autoSpaceDE/>
        <w:autoSpaceDN/>
        <w:bidi w:val="0"/>
        <w:snapToGrid w:val="0"/>
        <w:spacing w:before="435" w:beforeLines="100" w:line="540" w:lineRule="exact"/>
        <w:ind w:firstLine="643"/>
        <w:rPr>
          <w:rFonts w:cs="仿宋"/>
          <w:b/>
          <w:szCs w:val="32"/>
        </w:rPr>
        <w:sectPr>
          <w:headerReference r:id="rId7" w:type="first"/>
          <w:footerReference r:id="rId10" w:type="first"/>
          <w:headerReference r:id="rId5" w:type="default"/>
          <w:footerReference r:id="rId8" w:type="default"/>
          <w:headerReference r:id="rId6" w:type="even"/>
          <w:footerReference r:id="rId9" w:type="even"/>
          <w:pgSz w:w="11906" w:h="16838"/>
          <w:pgMar w:top="2098" w:right="1418" w:bottom="1588" w:left="1644" w:header="851" w:footer="992" w:gutter="0"/>
          <w:pgNumType w:fmt="numberInDash"/>
          <w:cols w:space="720" w:num="1"/>
          <w:docGrid w:type="lines" w:linePitch="435" w:charSpace="0"/>
        </w:sectPr>
      </w:pPr>
    </w:p>
    <w:p w14:paraId="4F926733">
      <w:pPr>
        <w:pageBreakBefore w:val="0"/>
        <w:kinsoku/>
        <w:wordWrap/>
        <w:overflowPunct/>
        <w:topLinePunct w:val="0"/>
        <w:autoSpaceDE/>
        <w:autoSpaceDN/>
        <w:bidi w:val="0"/>
        <w:snapToGrid w:val="0"/>
        <w:spacing w:before="435" w:beforeLines="100" w:line="540" w:lineRule="exact"/>
        <w:ind w:firstLine="643"/>
        <w:rPr>
          <w:rFonts w:cs="仿宋"/>
          <w:szCs w:val="32"/>
          <w:lang w:val="en-GB"/>
        </w:rPr>
      </w:pPr>
      <w:r>
        <w:rPr>
          <w:rFonts w:hint="eastAsia" w:cs="仿宋"/>
          <w:b/>
          <w:szCs w:val="32"/>
        </w:rPr>
        <w:t>（二）资金测算平衡情况</w:t>
      </w:r>
    </w:p>
    <w:p w14:paraId="654587D7">
      <w:pPr>
        <w:pageBreakBefore w:val="0"/>
        <w:kinsoku/>
        <w:wordWrap/>
        <w:overflowPunct/>
        <w:topLinePunct w:val="0"/>
        <w:autoSpaceDE/>
        <w:autoSpaceDN/>
        <w:bidi w:val="0"/>
        <w:spacing w:line="540" w:lineRule="exact"/>
        <w:ind w:firstLine="560"/>
        <w:rPr>
          <w:sz w:val="28"/>
          <w:szCs w:val="28"/>
        </w:rPr>
      </w:pPr>
      <w:r>
        <w:rPr>
          <w:rFonts w:hint="eastAsia"/>
          <w:sz w:val="28"/>
          <w:szCs w:val="28"/>
        </w:rPr>
        <w:t>1）项目组合融资资金测算平衡情况</w:t>
      </w:r>
    </w:p>
    <w:p w14:paraId="351418BB">
      <w:pPr>
        <w:pageBreakBefore w:val="0"/>
        <w:kinsoku/>
        <w:wordWrap/>
        <w:overflowPunct/>
        <w:topLinePunct w:val="0"/>
        <w:autoSpaceDE/>
        <w:autoSpaceDN/>
        <w:bidi w:val="0"/>
        <w:spacing w:line="540" w:lineRule="exact"/>
        <w:ind w:firstLine="560"/>
        <w:rPr>
          <w:rFonts w:hint="eastAsia"/>
          <w:sz w:val="28"/>
          <w:szCs w:val="28"/>
        </w:rPr>
      </w:pPr>
      <w:r>
        <w:rPr>
          <w:rFonts w:hint="eastAsia"/>
          <w:sz w:val="28"/>
          <w:szCs w:val="28"/>
        </w:rPr>
        <w:t>本项目运营期产生的可用于偿还组合融资本息的经营性净现金流量为89,519.58万元，债券存续期还本付息合计46,170.00 万元，市场化融资存续期还本付息合计31,886.71 万元。经测算，组合偿债覆盖倍数为1.15，项目收益足以覆盖组合融资还本付息，且有盈余，项目偿债能力较强。</w:t>
      </w:r>
    </w:p>
    <w:p w14:paraId="6E57162D">
      <w:pPr>
        <w:pageBreakBefore w:val="0"/>
        <w:kinsoku/>
        <w:wordWrap/>
        <w:overflowPunct/>
        <w:topLinePunct w:val="0"/>
        <w:autoSpaceDE/>
        <w:autoSpaceDN/>
        <w:bidi w:val="0"/>
        <w:spacing w:line="540" w:lineRule="exact"/>
        <w:ind w:firstLine="560"/>
        <w:rPr>
          <w:sz w:val="28"/>
          <w:szCs w:val="28"/>
        </w:rPr>
      </w:pPr>
      <w:r>
        <w:rPr>
          <w:rFonts w:hint="eastAsia"/>
          <w:sz w:val="28"/>
          <w:szCs w:val="28"/>
        </w:rPr>
        <w:t>2）专项债券融资资金测算平衡情况</w:t>
      </w:r>
    </w:p>
    <w:p w14:paraId="5B65FC99">
      <w:pPr>
        <w:pageBreakBefore w:val="0"/>
        <w:kinsoku/>
        <w:wordWrap/>
        <w:overflowPunct/>
        <w:topLinePunct w:val="0"/>
        <w:autoSpaceDE/>
        <w:autoSpaceDN/>
        <w:bidi w:val="0"/>
        <w:spacing w:line="540" w:lineRule="exact"/>
        <w:ind w:firstLine="560"/>
        <w:rPr>
          <w:sz w:val="28"/>
          <w:szCs w:val="28"/>
        </w:rPr>
      </w:pPr>
      <w:r>
        <w:rPr>
          <w:rFonts w:hint="eastAsia"/>
          <w:sz w:val="28"/>
          <w:szCs w:val="28"/>
        </w:rPr>
        <w:t>本项目运营期产生的60.00%经营性专项收益，合计收益为53,711.75万元，纳入政府性基金预算管理，缴入专项债偿债资金专户用于偿还专项债券本息。经测算，偿债覆盖倍数为1.16，该部分收益足以覆盖还本付息，且有盈余，项目偿债能力较强。</w:t>
      </w:r>
    </w:p>
    <w:p w14:paraId="6E334592">
      <w:pPr>
        <w:pageBreakBefore w:val="0"/>
        <w:kinsoku/>
        <w:wordWrap/>
        <w:overflowPunct/>
        <w:topLinePunct w:val="0"/>
        <w:autoSpaceDE/>
        <w:autoSpaceDN/>
        <w:bidi w:val="0"/>
        <w:spacing w:line="540" w:lineRule="exact"/>
        <w:ind w:firstLine="560"/>
        <w:rPr>
          <w:sz w:val="28"/>
          <w:szCs w:val="28"/>
        </w:rPr>
      </w:pPr>
      <w:r>
        <w:rPr>
          <w:rFonts w:hint="eastAsia"/>
          <w:sz w:val="28"/>
          <w:szCs w:val="28"/>
        </w:rPr>
        <w:t>3）市场化融资资金测算平衡情况</w:t>
      </w:r>
    </w:p>
    <w:p w14:paraId="02EF79E0">
      <w:pPr>
        <w:pageBreakBefore w:val="0"/>
        <w:kinsoku/>
        <w:wordWrap/>
        <w:overflowPunct/>
        <w:topLinePunct w:val="0"/>
        <w:autoSpaceDE/>
        <w:autoSpaceDN/>
        <w:bidi w:val="0"/>
        <w:spacing w:line="540" w:lineRule="exact"/>
        <w:ind w:firstLine="560"/>
        <w:rPr>
          <w:sz w:val="28"/>
          <w:szCs w:val="28"/>
        </w:rPr>
      </w:pPr>
      <w:r>
        <w:rPr>
          <w:rFonts w:hint="eastAsia"/>
          <w:sz w:val="28"/>
          <w:szCs w:val="28"/>
        </w:rPr>
        <w:t>本项目经营期产生的40.00%经营性专项收益，合计收益为35,807.83  万元，缴入市场化融资偿债资金专户用于偿还市场化融资本息。经测算，偿债覆盖倍数为1.12，该部分收益足以覆盖还本付息，且有盈余，项目偿债能力较强。</w:t>
      </w:r>
    </w:p>
    <w:p w14:paraId="493B7E31">
      <w:pPr>
        <w:pageBreakBefore w:val="0"/>
        <w:kinsoku/>
        <w:wordWrap/>
        <w:overflowPunct/>
        <w:topLinePunct w:val="0"/>
        <w:autoSpaceDE/>
        <w:autoSpaceDN/>
        <w:bidi w:val="0"/>
        <w:spacing w:line="540" w:lineRule="exact"/>
        <w:ind w:firstLine="640"/>
        <w:rPr>
          <w:rFonts w:hint="eastAsia" w:cs="仿宋"/>
        </w:rPr>
      </w:pPr>
    </w:p>
    <w:p w14:paraId="59E0E7CD">
      <w:pPr>
        <w:pageBreakBefore w:val="0"/>
        <w:widowControl/>
        <w:kinsoku/>
        <w:wordWrap/>
        <w:overflowPunct/>
        <w:topLinePunct w:val="0"/>
        <w:autoSpaceDE/>
        <w:autoSpaceDN/>
        <w:bidi w:val="0"/>
        <w:spacing w:line="540" w:lineRule="exact"/>
        <w:ind w:firstLine="0" w:firstLineChars="0"/>
        <w:jc w:val="center"/>
        <w:rPr>
          <w:rFonts w:cs="仿宋"/>
          <w:b/>
          <w:kern w:val="0"/>
          <w:sz w:val="30"/>
          <w:szCs w:val="30"/>
        </w:rPr>
      </w:pPr>
    </w:p>
    <w:p w14:paraId="2FB66D70">
      <w:pPr>
        <w:pageBreakBefore w:val="0"/>
        <w:widowControl/>
        <w:kinsoku/>
        <w:wordWrap/>
        <w:overflowPunct/>
        <w:topLinePunct w:val="0"/>
        <w:autoSpaceDE/>
        <w:autoSpaceDN/>
        <w:bidi w:val="0"/>
        <w:spacing w:line="540" w:lineRule="exact"/>
        <w:ind w:firstLine="0" w:firstLineChars="0"/>
        <w:jc w:val="center"/>
        <w:rPr>
          <w:rFonts w:cs="仿宋"/>
          <w:b/>
          <w:kern w:val="0"/>
          <w:sz w:val="30"/>
          <w:szCs w:val="30"/>
        </w:rPr>
      </w:pPr>
      <w:r>
        <w:rPr>
          <w:rFonts w:hint="eastAsia" w:cs="仿宋"/>
          <w:b/>
          <w:kern w:val="0"/>
          <w:sz w:val="30"/>
          <w:szCs w:val="30"/>
        </w:rPr>
        <w:t>资金平衡表</w:t>
      </w:r>
    </w:p>
    <w:p w14:paraId="0C3A93D3">
      <w:pPr>
        <w:pageBreakBefore w:val="0"/>
        <w:widowControl/>
        <w:kinsoku/>
        <w:wordWrap/>
        <w:overflowPunct/>
        <w:topLinePunct w:val="0"/>
        <w:autoSpaceDE/>
        <w:autoSpaceDN/>
        <w:bidi w:val="0"/>
        <w:spacing w:line="540" w:lineRule="exact"/>
        <w:ind w:firstLine="0" w:firstLineChars="0"/>
        <w:jc w:val="right"/>
        <w:textAlignment w:val="center"/>
        <w:rPr>
          <w:rFonts w:hint="eastAsia" w:cs="仿宋"/>
          <w:bCs/>
          <w:kern w:val="0"/>
          <w:sz w:val="21"/>
          <w:szCs w:val="21"/>
        </w:rPr>
      </w:pPr>
      <w:r>
        <w:rPr>
          <w:rFonts w:hint="eastAsia" w:cs="仿宋"/>
          <w:bCs/>
          <w:kern w:val="0"/>
          <w:sz w:val="21"/>
          <w:szCs w:val="21"/>
        </w:rPr>
        <w:t>单位：万元</w:t>
      </w:r>
    </w:p>
    <w:tbl>
      <w:tblPr>
        <w:tblStyle w:val="18"/>
        <w:tblW w:w="499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56"/>
        <w:gridCol w:w="1485"/>
        <w:gridCol w:w="1316"/>
        <w:gridCol w:w="1266"/>
        <w:gridCol w:w="1206"/>
        <w:gridCol w:w="1161"/>
        <w:gridCol w:w="1266"/>
        <w:gridCol w:w="1096"/>
        <w:gridCol w:w="1096"/>
        <w:gridCol w:w="1206"/>
        <w:gridCol w:w="1206"/>
      </w:tblGrid>
      <w:tr w14:paraId="7EA04F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vMerge w:val="restart"/>
            <w:tcBorders>
              <w:bottom w:val="single" w:color="000000" w:sz="4" w:space="0"/>
              <w:right w:val="single" w:color="000000" w:sz="4" w:space="0"/>
            </w:tcBorders>
            <w:shd w:val="clear" w:color="auto" w:fill="auto"/>
            <w:noWrap/>
            <w:vAlign w:val="center"/>
          </w:tcPr>
          <w:p w14:paraId="634CFC7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序号</w:t>
            </w:r>
          </w:p>
        </w:tc>
        <w:tc>
          <w:tcPr>
            <w:tcW w:w="0" w:type="auto"/>
            <w:tcBorders>
              <w:left w:val="single" w:color="000000" w:sz="4" w:space="0"/>
              <w:bottom w:val="single" w:color="000000" w:sz="4" w:space="0"/>
              <w:right w:val="single" w:color="000000" w:sz="4" w:space="0"/>
            </w:tcBorders>
            <w:shd w:val="clear" w:color="auto" w:fill="auto"/>
            <w:vAlign w:val="center"/>
          </w:tcPr>
          <w:p w14:paraId="6C78E12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阶段</w:t>
            </w:r>
          </w:p>
        </w:tc>
        <w:tc>
          <w:tcPr>
            <w:tcW w:w="0" w:type="auto"/>
            <w:vMerge w:val="restart"/>
            <w:tcBorders>
              <w:left w:val="single" w:color="000000" w:sz="4" w:space="0"/>
              <w:bottom w:val="single" w:color="000000" w:sz="4" w:space="0"/>
              <w:right w:val="single" w:color="000000" w:sz="4" w:space="0"/>
            </w:tcBorders>
            <w:shd w:val="clear" w:color="auto" w:fill="auto"/>
            <w:noWrap/>
            <w:vAlign w:val="center"/>
          </w:tcPr>
          <w:p w14:paraId="0FAE844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合计</w:t>
            </w:r>
          </w:p>
        </w:tc>
        <w:tc>
          <w:tcPr>
            <w:tcW w:w="0" w:type="auto"/>
            <w:gridSpan w:val="3"/>
            <w:tcBorders>
              <w:left w:val="single" w:color="000000" w:sz="4" w:space="0"/>
              <w:bottom w:val="single" w:color="000000" w:sz="4" w:space="0"/>
              <w:right w:val="nil"/>
            </w:tcBorders>
            <w:shd w:val="clear" w:color="auto" w:fill="auto"/>
            <w:noWrap/>
            <w:vAlign w:val="center"/>
          </w:tcPr>
          <w:p w14:paraId="566AD91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建设期</w:t>
            </w:r>
          </w:p>
        </w:tc>
        <w:tc>
          <w:tcPr>
            <w:tcW w:w="0" w:type="auto"/>
            <w:gridSpan w:val="5"/>
            <w:tcBorders>
              <w:left w:val="single" w:color="000000" w:sz="4" w:space="0"/>
              <w:bottom w:val="single" w:color="000000" w:sz="4" w:space="0"/>
            </w:tcBorders>
            <w:shd w:val="clear" w:color="auto" w:fill="auto"/>
            <w:noWrap/>
            <w:vAlign w:val="center"/>
          </w:tcPr>
          <w:p w14:paraId="4F30156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运营期</w:t>
            </w:r>
          </w:p>
        </w:tc>
      </w:tr>
      <w:tr w14:paraId="1E98D5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vMerge w:val="continue"/>
            <w:tcBorders>
              <w:top w:val="single" w:color="000000" w:sz="4" w:space="0"/>
              <w:bottom w:val="single" w:color="000000" w:sz="4" w:space="0"/>
              <w:right w:val="single" w:color="000000" w:sz="4" w:space="0"/>
            </w:tcBorders>
            <w:shd w:val="clear" w:color="auto" w:fill="auto"/>
            <w:noWrap/>
            <w:vAlign w:val="center"/>
          </w:tcPr>
          <w:p w14:paraId="62B8BCF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D1D49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自然年</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A196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5528E2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2025(3-12)</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1FC9FAE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2026</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85FE39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2027(1-2)</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C39A0E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2027(3-12)</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0F9AC1F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2028</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91F218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2029</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5559066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2030</w:t>
            </w:r>
          </w:p>
        </w:tc>
        <w:tc>
          <w:tcPr>
            <w:tcW w:w="0" w:type="auto"/>
            <w:tcBorders>
              <w:top w:val="nil"/>
              <w:left w:val="single" w:color="000000" w:sz="4" w:space="0"/>
              <w:bottom w:val="single" w:color="000000" w:sz="4" w:space="0"/>
            </w:tcBorders>
            <w:shd w:val="clear" w:color="auto" w:fill="auto"/>
            <w:noWrap/>
            <w:vAlign w:val="center"/>
          </w:tcPr>
          <w:p w14:paraId="5DCEA7C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2031</w:t>
            </w:r>
          </w:p>
        </w:tc>
      </w:tr>
      <w:tr w14:paraId="3A7BE4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vMerge w:val="continue"/>
            <w:tcBorders>
              <w:top w:val="single" w:color="000000" w:sz="4" w:space="0"/>
              <w:bottom w:val="single" w:color="000000" w:sz="4" w:space="0"/>
              <w:right w:val="single" w:color="000000" w:sz="4" w:space="0"/>
            </w:tcBorders>
            <w:shd w:val="clear" w:color="auto" w:fill="auto"/>
            <w:noWrap/>
            <w:vAlign w:val="center"/>
          </w:tcPr>
          <w:p w14:paraId="715DD2C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E919D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计算期</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EBC7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6FEC110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03F8A54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4E9C9C9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0EBD46E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4B31991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EFB79B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5</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28D8105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6</w:t>
            </w:r>
          </w:p>
        </w:tc>
        <w:tc>
          <w:tcPr>
            <w:tcW w:w="0" w:type="auto"/>
            <w:tcBorders>
              <w:top w:val="nil"/>
              <w:left w:val="single" w:color="000000" w:sz="4" w:space="0"/>
              <w:bottom w:val="single" w:color="000000" w:sz="4" w:space="0"/>
            </w:tcBorders>
            <w:shd w:val="clear" w:color="auto" w:fill="auto"/>
            <w:noWrap/>
            <w:vAlign w:val="center"/>
          </w:tcPr>
          <w:p w14:paraId="4F73B58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7</w:t>
            </w:r>
          </w:p>
        </w:tc>
      </w:tr>
      <w:tr w14:paraId="022CF3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noWrap/>
            <w:vAlign w:val="center"/>
          </w:tcPr>
          <w:p w14:paraId="6B944D8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AA3E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FFB4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A2F5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82B3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4DFD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D774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6649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0D4E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DE35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tcBorders>
            <w:shd w:val="clear" w:color="auto" w:fill="auto"/>
            <w:noWrap/>
            <w:vAlign w:val="center"/>
          </w:tcPr>
          <w:p w14:paraId="4C973A9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62C0C2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12A4284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C1E3F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项目资本金（不含债券资金用作资本金）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0146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13,800.00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E3FF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5,700.00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F51A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6,900.00 </w:t>
            </w: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E0C8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1,200.00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A84E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B1EF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7F7E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E34C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tcBorders>
            <w:shd w:val="clear" w:color="auto" w:fill="auto"/>
            <w:noWrap/>
            <w:vAlign w:val="center"/>
          </w:tcPr>
          <w:p w14:paraId="26A52FA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5AB5D4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789FC6F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7D496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专项债券</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3A3B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27,000.00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6F7A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11,200.00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D492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13,500.00 </w:t>
            </w: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FF36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2,300.00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7DB4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AD73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70ED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F48A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tcBorders>
            <w:shd w:val="clear" w:color="auto" w:fill="auto"/>
            <w:noWrap/>
            <w:vAlign w:val="center"/>
          </w:tcPr>
          <w:p w14:paraId="1896311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050C23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7685D8A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AB586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市场化融资资金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6E26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18,000.00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4558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7,500.00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3469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9,000.00 </w:t>
            </w: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CDD9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1,500.00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09C2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BCE2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2413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FE7A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tcBorders>
            <w:shd w:val="clear" w:color="auto" w:fill="auto"/>
            <w:noWrap/>
            <w:vAlign w:val="center"/>
          </w:tcPr>
          <w:p w14:paraId="2F12164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308B7A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1B39739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E1F0A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项目总收益</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25BA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89,519.58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4F1A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5876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A40B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F85B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2,538.98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F584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3,666.11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7EC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4,079.90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8904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4,265.47 </w:t>
            </w:r>
          </w:p>
        </w:tc>
        <w:tc>
          <w:tcPr>
            <w:tcW w:w="1206" w:type="dxa"/>
            <w:tcBorders>
              <w:top w:val="single" w:color="000000" w:sz="4" w:space="0"/>
              <w:left w:val="single" w:color="000000" w:sz="4" w:space="0"/>
              <w:bottom w:val="single" w:color="000000" w:sz="4" w:space="0"/>
            </w:tcBorders>
            <w:shd w:val="clear" w:color="auto" w:fill="auto"/>
            <w:noWrap/>
            <w:vAlign w:val="center"/>
          </w:tcPr>
          <w:p w14:paraId="0B752DA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4,255.25 </w:t>
            </w:r>
          </w:p>
        </w:tc>
      </w:tr>
      <w:tr w14:paraId="239A71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nil"/>
              <w:right w:val="single" w:color="000000" w:sz="4" w:space="0"/>
            </w:tcBorders>
            <w:shd w:val="clear" w:color="auto" w:fill="auto"/>
            <w:vAlign w:val="center"/>
          </w:tcPr>
          <w:p w14:paraId="3B3DC09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4.1</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6A9B63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平衡专项债券的收益</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6909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53,711.75 </w:t>
            </w:r>
          </w:p>
        </w:tc>
        <w:tc>
          <w:tcPr>
            <w:tcW w:w="1266" w:type="dxa"/>
            <w:tcBorders>
              <w:top w:val="single" w:color="000000" w:sz="4" w:space="0"/>
              <w:left w:val="single" w:color="000000" w:sz="4" w:space="0"/>
              <w:bottom w:val="nil"/>
              <w:right w:val="single" w:color="000000" w:sz="4" w:space="0"/>
            </w:tcBorders>
            <w:shd w:val="clear" w:color="auto" w:fill="auto"/>
            <w:noWrap/>
            <w:vAlign w:val="center"/>
          </w:tcPr>
          <w:p w14:paraId="2CACB92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E0DA78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161" w:type="dxa"/>
            <w:tcBorders>
              <w:top w:val="single" w:color="000000" w:sz="4" w:space="0"/>
              <w:left w:val="single" w:color="000000" w:sz="4" w:space="0"/>
              <w:bottom w:val="nil"/>
              <w:right w:val="single" w:color="000000" w:sz="4" w:space="0"/>
            </w:tcBorders>
            <w:shd w:val="clear" w:color="auto" w:fill="auto"/>
            <w:noWrap/>
            <w:vAlign w:val="center"/>
          </w:tcPr>
          <w:p w14:paraId="136CFB2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66" w:type="dxa"/>
            <w:tcBorders>
              <w:top w:val="single" w:color="000000" w:sz="4" w:space="0"/>
              <w:left w:val="single" w:color="000000" w:sz="4" w:space="0"/>
              <w:bottom w:val="nil"/>
              <w:right w:val="single" w:color="000000" w:sz="4" w:space="0"/>
            </w:tcBorders>
            <w:shd w:val="clear" w:color="auto" w:fill="auto"/>
            <w:noWrap/>
            <w:vAlign w:val="center"/>
          </w:tcPr>
          <w:p w14:paraId="7A51E5A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1,523.39 </w:t>
            </w:r>
          </w:p>
        </w:tc>
        <w:tc>
          <w:tcPr>
            <w:tcW w:w="1096" w:type="dxa"/>
            <w:tcBorders>
              <w:top w:val="single" w:color="000000" w:sz="4" w:space="0"/>
              <w:left w:val="single" w:color="000000" w:sz="4" w:space="0"/>
              <w:bottom w:val="nil"/>
              <w:right w:val="single" w:color="000000" w:sz="4" w:space="0"/>
            </w:tcBorders>
            <w:shd w:val="clear" w:color="auto" w:fill="auto"/>
            <w:noWrap/>
            <w:vAlign w:val="center"/>
          </w:tcPr>
          <w:p w14:paraId="1EB35A1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2,199.66 </w:t>
            </w:r>
          </w:p>
        </w:tc>
        <w:tc>
          <w:tcPr>
            <w:tcW w:w="1096" w:type="dxa"/>
            <w:tcBorders>
              <w:top w:val="single" w:color="000000" w:sz="4" w:space="0"/>
              <w:left w:val="single" w:color="000000" w:sz="4" w:space="0"/>
              <w:bottom w:val="nil"/>
              <w:right w:val="single" w:color="000000" w:sz="4" w:space="0"/>
            </w:tcBorders>
            <w:shd w:val="clear" w:color="auto" w:fill="auto"/>
            <w:noWrap/>
            <w:vAlign w:val="center"/>
          </w:tcPr>
          <w:p w14:paraId="1A03431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2,447.94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486A237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2,559.28 </w:t>
            </w:r>
          </w:p>
        </w:tc>
        <w:tc>
          <w:tcPr>
            <w:tcW w:w="1206" w:type="dxa"/>
            <w:tcBorders>
              <w:top w:val="single" w:color="000000" w:sz="4" w:space="0"/>
              <w:left w:val="single" w:color="000000" w:sz="4" w:space="0"/>
              <w:bottom w:val="nil"/>
            </w:tcBorders>
            <w:shd w:val="clear" w:color="auto" w:fill="auto"/>
            <w:noWrap/>
            <w:vAlign w:val="center"/>
          </w:tcPr>
          <w:p w14:paraId="01B761E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2,553.15 </w:t>
            </w:r>
          </w:p>
        </w:tc>
      </w:tr>
      <w:tr w14:paraId="196046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nil"/>
              <w:right w:val="single" w:color="000000" w:sz="4" w:space="0"/>
            </w:tcBorders>
            <w:shd w:val="clear" w:color="auto" w:fill="auto"/>
            <w:vAlign w:val="center"/>
          </w:tcPr>
          <w:p w14:paraId="5925140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3550F7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平衡市场化融资的收益</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F6F8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35,807.83 </w:t>
            </w:r>
          </w:p>
        </w:tc>
        <w:tc>
          <w:tcPr>
            <w:tcW w:w="1266" w:type="dxa"/>
            <w:tcBorders>
              <w:top w:val="single" w:color="000000" w:sz="4" w:space="0"/>
              <w:left w:val="single" w:color="000000" w:sz="4" w:space="0"/>
              <w:bottom w:val="nil"/>
              <w:right w:val="single" w:color="000000" w:sz="4" w:space="0"/>
            </w:tcBorders>
            <w:shd w:val="clear" w:color="auto" w:fill="auto"/>
            <w:noWrap/>
            <w:vAlign w:val="center"/>
          </w:tcPr>
          <w:p w14:paraId="7A25490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260835B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161" w:type="dxa"/>
            <w:tcBorders>
              <w:top w:val="single" w:color="000000" w:sz="4" w:space="0"/>
              <w:left w:val="single" w:color="000000" w:sz="4" w:space="0"/>
              <w:bottom w:val="nil"/>
              <w:right w:val="single" w:color="000000" w:sz="4" w:space="0"/>
            </w:tcBorders>
            <w:shd w:val="clear" w:color="auto" w:fill="auto"/>
            <w:noWrap/>
            <w:vAlign w:val="center"/>
          </w:tcPr>
          <w:p w14:paraId="06DB03D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66" w:type="dxa"/>
            <w:tcBorders>
              <w:top w:val="single" w:color="000000" w:sz="4" w:space="0"/>
              <w:left w:val="single" w:color="000000" w:sz="4" w:space="0"/>
              <w:bottom w:val="nil"/>
              <w:right w:val="single" w:color="000000" w:sz="4" w:space="0"/>
            </w:tcBorders>
            <w:shd w:val="clear" w:color="auto" w:fill="auto"/>
            <w:noWrap/>
            <w:vAlign w:val="center"/>
          </w:tcPr>
          <w:p w14:paraId="458B0A9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1,015.59 </w:t>
            </w:r>
          </w:p>
        </w:tc>
        <w:tc>
          <w:tcPr>
            <w:tcW w:w="1096" w:type="dxa"/>
            <w:tcBorders>
              <w:top w:val="single" w:color="000000" w:sz="4" w:space="0"/>
              <w:left w:val="single" w:color="000000" w:sz="4" w:space="0"/>
              <w:bottom w:val="nil"/>
              <w:right w:val="single" w:color="000000" w:sz="4" w:space="0"/>
            </w:tcBorders>
            <w:shd w:val="clear" w:color="auto" w:fill="auto"/>
            <w:noWrap/>
            <w:vAlign w:val="center"/>
          </w:tcPr>
          <w:p w14:paraId="08D0A67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1,466.44 </w:t>
            </w:r>
          </w:p>
        </w:tc>
        <w:tc>
          <w:tcPr>
            <w:tcW w:w="1096" w:type="dxa"/>
            <w:tcBorders>
              <w:top w:val="single" w:color="000000" w:sz="4" w:space="0"/>
              <w:left w:val="single" w:color="000000" w:sz="4" w:space="0"/>
              <w:bottom w:val="nil"/>
              <w:right w:val="single" w:color="000000" w:sz="4" w:space="0"/>
            </w:tcBorders>
            <w:shd w:val="clear" w:color="auto" w:fill="auto"/>
            <w:noWrap/>
            <w:vAlign w:val="center"/>
          </w:tcPr>
          <w:p w14:paraId="57F9699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1,631.96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735133E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1,706.19 </w:t>
            </w:r>
          </w:p>
        </w:tc>
        <w:tc>
          <w:tcPr>
            <w:tcW w:w="1206" w:type="dxa"/>
            <w:tcBorders>
              <w:top w:val="single" w:color="000000" w:sz="4" w:space="0"/>
              <w:left w:val="single" w:color="000000" w:sz="4" w:space="0"/>
              <w:bottom w:val="nil"/>
            </w:tcBorders>
            <w:shd w:val="clear" w:color="auto" w:fill="auto"/>
            <w:noWrap/>
            <w:vAlign w:val="center"/>
          </w:tcPr>
          <w:p w14:paraId="20E3722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1,702.10 </w:t>
            </w:r>
          </w:p>
        </w:tc>
      </w:tr>
      <w:tr w14:paraId="2BE525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gridSpan w:val="2"/>
            <w:tcBorders>
              <w:top w:val="single" w:color="000000" w:sz="4" w:space="0"/>
              <w:bottom w:val="nil"/>
              <w:right w:val="single" w:color="000000" w:sz="4" w:space="0"/>
            </w:tcBorders>
            <w:shd w:val="clear" w:color="auto" w:fill="auto"/>
            <w:vAlign w:val="center"/>
          </w:tcPr>
          <w:p w14:paraId="305FF7D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资金来源小计</w:t>
            </w:r>
          </w:p>
        </w:tc>
        <w:tc>
          <w:tcPr>
            <w:tcW w:w="1316" w:type="dxa"/>
            <w:tcBorders>
              <w:top w:val="single" w:color="000000" w:sz="4" w:space="0"/>
              <w:left w:val="single" w:color="000000" w:sz="4" w:space="0"/>
              <w:bottom w:val="nil"/>
              <w:right w:val="single" w:color="000000" w:sz="4" w:space="0"/>
            </w:tcBorders>
            <w:shd w:val="clear" w:color="auto" w:fill="auto"/>
            <w:noWrap/>
            <w:vAlign w:val="center"/>
          </w:tcPr>
          <w:p w14:paraId="612E9F1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148,319.58 </w:t>
            </w:r>
          </w:p>
        </w:tc>
        <w:tc>
          <w:tcPr>
            <w:tcW w:w="1266" w:type="dxa"/>
            <w:tcBorders>
              <w:top w:val="single" w:color="000000" w:sz="4" w:space="0"/>
              <w:left w:val="single" w:color="000000" w:sz="4" w:space="0"/>
              <w:bottom w:val="nil"/>
              <w:right w:val="single" w:color="000000" w:sz="4" w:space="0"/>
            </w:tcBorders>
            <w:shd w:val="clear" w:color="auto" w:fill="auto"/>
            <w:noWrap/>
            <w:vAlign w:val="center"/>
          </w:tcPr>
          <w:p w14:paraId="340873C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24,400.00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608A542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29,400.00 </w:t>
            </w:r>
          </w:p>
        </w:tc>
        <w:tc>
          <w:tcPr>
            <w:tcW w:w="1161" w:type="dxa"/>
            <w:tcBorders>
              <w:top w:val="single" w:color="000000" w:sz="4" w:space="0"/>
              <w:left w:val="single" w:color="000000" w:sz="4" w:space="0"/>
              <w:bottom w:val="nil"/>
              <w:right w:val="single" w:color="000000" w:sz="4" w:space="0"/>
            </w:tcBorders>
            <w:shd w:val="clear" w:color="auto" w:fill="auto"/>
            <w:noWrap/>
            <w:vAlign w:val="center"/>
          </w:tcPr>
          <w:p w14:paraId="7050E15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5,000.00 </w:t>
            </w:r>
          </w:p>
        </w:tc>
        <w:tc>
          <w:tcPr>
            <w:tcW w:w="1266" w:type="dxa"/>
            <w:tcBorders>
              <w:top w:val="single" w:color="000000" w:sz="4" w:space="0"/>
              <w:left w:val="single" w:color="000000" w:sz="4" w:space="0"/>
              <w:bottom w:val="nil"/>
              <w:right w:val="single" w:color="000000" w:sz="4" w:space="0"/>
            </w:tcBorders>
            <w:shd w:val="clear" w:color="auto" w:fill="auto"/>
            <w:noWrap/>
            <w:vAlign w:val="center"/>
          </w:tcPr>
          <w:p w14:paraId="3568467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2,538.98 </w:t>
            </w:r>
          </w:p>
        </w:tc>
        <w:tc>
          <w:tcPr>
            <w:tcW w:w="1096" w:type="dxa"/>
            <w:tcBorders>
              <w:top w:val="single" w:color="000000" w:sz="4" w:space="0"/>
              <w:left w:val="single" w:color="000000" w:sz="4" w:space="0"/>
              <w:bottom w:val="nil"/>
              <w:right w:val="single" w:color="000000" w:sz="4" w:space="0"/>
            </w:tcBorders>
            <w:shd w:val="clear" w:color="auto" w:fill="auto"/>
            <w:noWrap/>
            <w:vAlign w:val="center"/>
          </w:tcPr>
          <w:p w14:paraId="5BF69BD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3,666.11 </w:t>
            </w:r>
          </w:p>
        </w:tc>
        <w:tc>
          <w:tcPr>
            <w:tcW w:w="1096" w:type="dxa"/>
            <w:tcBorders>
              <w:top w:val="single" w:color="000000" w:sz="4" w:space="0"/>
              <w:left w:val="single" w:color="000000" w:sz="4" w:space="0"/>
              <w:bottom w:val="nil"/>
              <w:right w:val="single" w:color="000000" w:sz="4" w:space="0"/>
            </w:tcBorders>
            <w:shd w:val="clear" w:color="auto" w:fill="auto"/>
            <w:noWrap/>
            <w:vAlign w:val="center"/>
          </w:tcPr>
          <w:p w14:paraId="0D9F3BC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4,079.90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7A65408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4,265.47 </w:t>
            </w:r>
          </w:p>
        </w:tc>
        <w:tc>
          <w:tcPr>
            <w:tcW w:w="1206" w:type="dxa"/>
            <w:tcBorders>
              <w:top w:val="single" w:color="000000" w:sz="4" w:space="0"/>
              <w:left w:val="single" w:color="000000" w:sz="4" w:space="0"/>
              <w:bottom w:val="nil"/>
            </w:tcBorders>
            <w:shd w:val="clear" w:color="auto" w:fill="auto"/>
            <w:noWrap/>
            <w:vAlign w:val="center"/>
          </w:tcPr>
          <w:p w14:paraId="3972CF8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4,255.25 </w:t>
            </w:r>
          </w:p>
        </w:tc>
      </w:tr>
      <w:tr w14:paraId="6F604B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noWrap/>
            <w:vAlign w:val="center"/>
          </w:tcPr>
          <w:p w14:paraId="1AFBCD1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资金占用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C312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AC22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C4FC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5B10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1779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D3F8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B667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3905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9077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tcBorders>
            <w:shd w:val="clear" w:color="auto" w:fill="auto"/>
            <w:noWrap/>
            <w:vAlign w:val="center"/>
          </w:tcPr>
          <w:p w14:paraId="5083CDE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44DDA3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nil"/>
              <w:bottom w:val="single" w:color="000000" w:sz="4" w:space="0"/>
              <w:right w:val="single" w:color="000000" w:sz="4" w:space="0"/>
            </w:tcBorders>
            <w:shd w:val="clear" w:color="auto" w:fill="auto"/>
            <w:vAlign w:val="center"/>
          </w:tcPr>
          <w:p w14:paraId="547E1C4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0" w:type="auto"/>
            <w:tcBorders>
              <w:top w:val="nil"/>
              <w:left w:val="single" w:color="000000" w:sz="4" w:space="0"/>
              <w:bottom w:val="single" w:color="000000" w:sz="4" w:space="0"/>
              <w:right w:val="single" w:color="000000" w:sz="4" w:space="0"/>
            </w:tcBorders>
            <w:shd w:val="clear" w:color="auto" w:fill="auto"/>
            <w:vAlign w:val="center"/>
          </w:tcPr>
          <w:p w14:paraId="0304825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项目建设投资</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（静态，不含发行费）</w:t>
            </w:r>
          </w:p>
        </w:tc>
        <w:tc>
          <w:tcPr>
            <w:tcW w:w="1316" w:type="dxa"/>
            <w:tcBorders>
              <w:top w:val="nil"/>
              <w:left w:val="single" w:color="000000" w:sz="4" w:space="0"/>
              <w:bottom w:val="single" w:color="000000" w:sz="4" w:space="0"/>
              <w:right w:val="single" w:color="000000" w:sz="4" w:space="0"/>
            </w:tcBorders>
            <w:shd w:val="clear" w:color="auto" w:fill="auto"/>
            <w:noWrap/>
            <w:vAlign w:val="center"/>
          </w:tcPr>
          <w:p w14:paraId="53F9769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55,865.47 </w:t>
            </w:r>
          </w:p>
        </w:tc>
        <w:tc>
          <w:tcPr>
            <w:tcW w:w="1266" w:type="dxa"/>
            <w:tcBorders>
              <w:top w:val="nil"/>
              <w:left w:val="single" w:color="000000" w:sz="4" w:space="0"/>
              <w:bottom w:val="single" w:color="000000" w:sz="4" w:space="0"/>
              <w:right w:val="single" w:color="000000" w:sz="4" w:space="0"/>
            </w:tcBorders>
            <w:shd w:val="clear" w:color="auto" w:fill="auto"/>
            <w:noWrap/>
            <w:vAlign w:val="center"/>
          </w:tcPr>
          <w:p w14:paraId="5838E6C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23,684.71 </w:t>
            </w: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070CEB7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27,522.35 </w:t>
            </w:r>
          </w:p>
        </w:tc>
        <w:tc>
          <w:tcPr>
            <w:tcW w:w="1161" w:type="dxa"/>
            <w:tcBorders>
              <w:top w:val="nil"/>
              <w:left w:val="single" w:color="000000" w:sz="4" w:space="0"/>
              <w:bottom w:val="single" w:color="000000" w:sz="4" w:space="0"/>
              <w:right w:val="single" w:color="000000" w:sz="4" w:space="0"/>
            </w:tcBorders>
            <w:shd w:val="clear" w:color="auto" w:fill="auto"/>
            <w:noWrap/>
            <w:vAlign w:val="center"/>
          </w:tcPr>
          <w:p w14:paraId="70AF5C9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4,658.41 </w:t>
            </w:r>
          </w:p>
        </w:tc>
        <w:tc>
          <w:tcPr>
            <w:tcW w:w="1266" w:type="dxa"/>
            <w:tcBorders>
              <w:top w:val="nil"/>
              <w:left w:val="single" w:color="000000" w:sz="4" w:space="0"/>
              <w:bottom w:val="single" w:color="000000" w:sz="4" w:space="0"/>
              <w:right w:val="single" w:color="000000" w:sz="4" w:space="0"/>
            </w:tcBorders>
            <w:shd w:val="clear" w:color="auto" w:fill="auto"/>
            <w:noWrap/>
            <w:vAlign w:val="center"/>
          </w:tcPr>
          <w:p w14:paraId="20EF9BE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nil"/>
              <w:left w:val="single" w:color="000000" w:sz="4" w:space="0"/>
              <w:bottom w:val="single" w:color="000000" w:sz="4" w:space="0"/>
              <w:right w:val="single" w:color="000000" w:sz="4" w:space="0"/>
            </w:tcBorders>
            <w:shd w:val="clear" w:color="auto" w:fill="auto"/>
            <w:noWrap/>
            <w:vAlign w:val="center"/>
          </w:tcPr>
          <w:p w14:paraId="624A623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nil"/>
              <w:left w:val="single" w:color="000000" w:sz="4" w:space="0"/>
              <w:bottom w:val="single" w:color="000000" w:sz="4" w:space="0"/>
              <w:right w:val="single" w:color="000000" w:sz="4" w:space="0"/>
            </w:tcBorders>
            <w:shd w:val="clear" w:color="auto" w:fill="auto"/>
            <w:noWrap/>
            <w:vAlign w:val="center"/>
          </w:tcPr>
          <w:p w14:paraId="055E2A2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3976911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tcBorders>
            <w:shd w:val="clear" w:color="auto" w:fill="auto"/>
            <w:noWrap/>
            <w:vAlign w:val="center"/>
          </w:tcPr>
          <w:p w14:paraId="3578D92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4EC3E1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6EC3C32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4B945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债券发行费用</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82D2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21.60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878B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8.96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0AC6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10.80 </w:t>
            </w: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9EC4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1.84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808B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B8CB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BC35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3E32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tcBorders>
            <w:shd w:val="clear" w:color="auto" w:fill="auto"/>
            <w:noWrap/>
            <w:vAlign w:val="center"/>
          </w:tcPr>
          <w:p w14:paraId="06DA629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04E9B3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08CB0F9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B6864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归还专项债券本息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80FA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46,170.00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B0B6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331.33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7AC6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876.85 </w:t>
            </w: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E566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159.75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D769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798.75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EE7E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E0F3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EF62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tcBorders>
            <w:shd w:val="clear" w:color="auto" w:fill="auto"/>
            <w:noWrap/>
            <w:vAlign w:val="center"/>
          </w:tcPr>
          <w:p w14:paraId="424AA2F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r>
      <w:tr w14:paraId="0382B3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39814C2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4DBB2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归还专项债券利息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83FD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19,170.00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0DEF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331.33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02BF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876.85 </w:t>
            </w: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25A0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159.75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D06A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798.75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EEB2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A919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2C55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tcBorders>
            <w:shd w:val="clear" w:color="auto" w:fill="auto"/>
            <w:noWrap/>
            <w:vAlign w:val="center"/>
          </w:tcPr>
          <w:p w14:paraId="1E40D2E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r>
      <w:tr w14:paraId="4D1542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6165A86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A1CD0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归还专项债券本金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29CD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27,000.00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4C23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0ABC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C293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F7EF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5338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C21A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040D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tcBorders>
            <w:shd w:val="clear" w:color="auto" w:fill="auto"/>
            <w:noWrap/>
            <w:vAlign w:val="center"/>
          </w:tcPr>
          <w:p w14:paraId="77664B0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7A35C0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10881C5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CCAC3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归还市场化融资本息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D7D2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31,886.71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F386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375.00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AFE1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990.00 </w:t>
            </w: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AFC4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B4D3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900.00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BB7B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156F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0E00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tcBorders>
            <w:shd w:val="clear" w:color="auto" w:fill="auto"/>
            <w:noWrap/>
            <w:vAlign w:val="center"/>
          </w:tcPr>
          <w:p w14:paraId="080F7D1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r>
      <w:tr w14:paraId="53E060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1EFF2F3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CF776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归还市场化融资利息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D275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13,886.71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2B33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375.00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0129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990.00 </w:t>
            </w: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FCAD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1D7F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900.00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9491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1,071.18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1AF6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1,034.86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48AC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996.32 </w:t>
            </w:r>
          </w:p>
        </w:tc>
        <w:tc>
          <w:tcPr>
            <w:tcW w:w="1206" w:type="dxa"/>
            <w:tcBorders>
              <w:top w:val="single" w:color="000000" w:sz="4" w:space="0"/>
              <w:left w:val="single" w:color="000000" w:sz="4" w:space="0"/>
              <w:bottom w:val="single" w:color="000000" w:sz="4" w:space="0"/>
            </w:tcBorders>
            <w:shd w:val="clear" w:color="auto" w:fill="auto"/>
            <w:noWrap/>
            <w:vAlign w:val="center"/>
          </w:tcPr>
          <w:p w14:paraId="67E7E78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955.43 </w:t>
            </w:r>
          </w:p>
        </w:tc>
      </w:tr>
      <w:tr w14:paraId="094E75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4B56B1D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CA453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归还市场化融资本金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7E6A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18,000.00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6A02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38DE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1458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7522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CD78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596.49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4CBE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632.82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719D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671.36 </w:t>
            </w:r>
          </w:p>
        </w:tc>
        <w:tc>
          <w:tcPr>
            <w:tcW w:w="1206" w:type="dxa"/>
            <w:tcBorders>
              <w:top w:val="single" w:color="000000" w:sz="4" w:space="0"/>
              <w:left w:val="single" w:color="000000" w:sz="4" w:space="0"/>
              <w:bottom w:val="single" w:color="000000" w:sz="4" w:space="0"/>
            </w:tcBorders>
            <w:shd w:val="clear" w:color="auto" w:fill="auto"/>
            <w:noWrap/>
            <w:vAlign w:val="center"/>
          </w:tcPr>
          <w:p w14:paraId="4E0939E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712.24 </w:t>
            </w:r>
          </w:p>
        </w:tc>
      </w:tr>
      <w:tr w14:paraId="0D62EE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gridSpan w:val="2"/>
            <w:tcBorders>
              <w:top w:val="single" w:color="000000" w:sz="4" w:space="0"/>
              <w:bottom w:val="single" w:color="000000" w:sz="4" w:space="0"/>
              <w:right w:val="single" w:color="000000" w:sz="4" w:space="0"/>
            </w:tcBorders>
            <w:shd w:val="clear" w:color="auto" w:fill="auto"/>
            <w:noWrap/>
            <w:vAlign w:val="center"/>
          </w:tcPr>
          <w:p w14:paraId="7A9FC08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资金占用小计</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ED6D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133,943.78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023B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24,400.00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C2FE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29,400.00 </w:t>
            </w: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C175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5,000.00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8D62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1,698.75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DC23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84A8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4D64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tcBorders>
            <w:shd w:val="clear" w:color="auto" w:fill="auto"/>
            <w:noWrap/>
            <w:vAlign w:val="center"/>
          </w:tcPr>
          <w:p w14:paraId="18842ED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r>
      <w:tr w14:paraId="1F0A4B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gridSpan w:val="2"/>
            <w:tcBorders>
              <w:top w:val="single" w:color="000000" w:sz="4" w:space="0"/>
              <w:bottom w:val="single" w:color="000000" w:sz="4" w:space="0"/>
              <w:right w:val="single" w:color="000000" w:sz="4" w:space="0"/>
            </w:tcBorders>
            <w:shd w:val="clear" w:color="auto" w:fill="auto"/>
            <w:noWrap/>
            <w:vAlign w:val="center"/>
          </w:tcPr>
          <w:p w14:paraId="6438A45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当年资金结余</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D508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14,375.80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E2B4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AA00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0.00 </w:t>
            </w:r>
          </w:p>
        </w:tc>
        <w:tc>
          <w:tcPr>
            <w:tcW w:w="1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DAC2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0.00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5C0D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840.23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F021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1,039.93 </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2F65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1,453.73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A43B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1,639.30 </w:t>
            </w:r>
          </w:p>
        </w:tc>
        <w:tc>
          <w:tcPr>
            <w:tcW w:w="1206" w:type="dxa"/>
            <w:tcBorders>
              <w:top w:val="single" w:color="000000" w:sz="4" w:space="0"/>
              <w:left w:val="single" w:color="000000" w:sz="4" w:space="0"/>
              <w:bottom w:val="single" w:color="000000" w:sz="4" w:space="0"/>
            </w:tcBorders>
            <w:shd w:val="clear" w:color="auto" w:fill="auto"/>
            <w:noWrap/>
            <w:vAlign w:val="center"/>
          </w:tcPr>
          <w:p w14:paraId="718B96B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1,629.08 </w:t>
            </w:r>
          </w:p>
        </w:tc>
      </w:tr>
      <w:tr w14:paraId="12F839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gridSpan w:val="2"/>
            <w:tcBorders>
              <w:top w:val="single" w:color="000000" w:sz="4" w:space="0"/>
              <w:bottom w:val="nil"/>
              <w:right w:val="single" w:color="000000" w:sz="4" w:space="0"/>
            </w:tcBorders>
            <w:shd w:val="clear" w:color="auto" w:fill="auto"/>
            <w:noWrap/>
            <w:vAlign w:val="center"/>
          </w:tcPr>
          <w:p w14:paraId="6A0CC1B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期末累计资金结余</w:t>
            </w:r>
          </w:p>
        </w:tc>
        <w:tc>
          <w:tcPr>
            <w:tcW w:w="1316" w:type="dxa"/>
            <w:tcBorders>
              <w:top w:val="single" w:color="000000" w:sz="4" w:space="0"/>
              <w:left w:val="single" w:color="000000" w:sz="4" w:space="0"/>
              <w:bottom w:val="nil"/>
              <w:right w:val="single" w:color="000000" w:sz="4" w:space="0"/>
            </w:tcBorders>
            <w:shd w:val="clear" w:color="auto" w:fill="auto"/>
            <w:noWrap/>
            <w:vAlign w:val="center"/>
          </w:tcPr>
          <w:p w14:paraId="2CE0632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66" w:type="dxa"/>
            <w:tcBorders>
              <w:top w:val="single" w:color="000000" w:sz="4" w:space="0"/>
              <w:left w:val="single" w:color="000000" w:sz="4" w:space="0"/>
              <w:bottom w:val="nil"/>
              <w:right w:val="single" w:color="000000" w:sz="4" w:space="0"/>
            </w:tcBorders>
            <w:shd w:val="clear" w:color="auto" w:fill="auto"/>
            <w:noWrap/>
            <w:vAlign w:val="center"/>
          </w:tcPr>
          <w:p w14:paraId="208C222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0.00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75C9E73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0.00 </w:t>
            </w:r>
          </w:p>
        </w:tc>
        <w:tc>
          <w:tcPr>
            <w:tcW w:w="1161" w:type="dxa"/>
            <w:tcBorders>
              <w:top w:val="single" w:color="000000" w:sz="4" w:space="0"/>
              <w:left w:val="single" w:color="000000" w:sz="4" w:space="0"/>
              <w:bottom w:val="nil"/>
              <w:right w:val="single" w:color="000000" w:sz="4" w:space="0"/>
            </w:tcBorders>
            <w:shd w:val="clear" w:color="auto" w:fill="auto"/>
            <w:noWrap/>
            <w:vAlign w:val="center"/>
          </w:tcPr>
          <w:p w14:paraId="630DB02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0.00 </w:t>
            </w:r>
          </w:p>
        </w:tc>
        <w:tc>
          <w:tcPr>
            <w:tcW w:w="1266" w:type="dxa"/>
            <w:tcBorders>
              <w:top w:val="single" w:color="000000" w:sz="4" w:space="0"/>
              <w:left w:val="single" w:color="000000" w:sz="4" w:space="0"/>
              <w:bottom w:val="nil"/>
              <w:right w:val="single" w:color="000000" w:sz="4" w:space="0"/>
            </w:tcBorders>
            <w:shd w:val="clear" w:color="auto" w:fill="auto"/>
            <w:noWrap/>
            <w:vAlign w:val="center"/>
          </w:tcPr>
          <w:p w14:paraId="5BBD945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840.23 </w:t>
            </w:r>
          </w:p>
        </w:tc>
        <w:tc>
          <w:tcPr>
            <w:tcW w:w="1096" w:type="dxa"/>
            <w:tcBorders>
              <w:top w:val="single" w:color="000000" w:sz="4" w:space="0"/>
              <w:left w:val="single" w:color="000000" w:sz="4" w:space="0"/>
              <w:bottom w:val="nil"/>
              <w:right w:val="single" w:color="000000" w:sz="4" w:space="0"/>
            </w:tcBorders>
            <w:shd w:val="clear" w:color="auto" w:fill="auto"/>
            <w:noWrap/>
            <w:vAlign w:val="center"/>
          </w:tcPr>
          <w:p w14:paraId="6E7B373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1,880.16 </w:t>
            </w:r>
          </w:p>
        </w:tc>
        <w:tc>
          <w:tcPr>
            <w:tcW w:w="1096" w:type="dxa"/>
            <w:tcBorders>
              <w:top w:val="single" w:color="000000" w:sz="4" w:space="0"/>
              <w:left w:val="single" w:color="000000" w:sz="4" w:space="0"/>
              <w:bottom w:val="nil"/>
              <w:right w:val="single" w:color="000000" w:sz="4" w:space="0"/>
            </w:tcBorders>
            <w:shd w:val="clear" w:color="auto" w:fill="auto"/>
            <w:noWrap/>
            <w:vAlign w:val="center"/>
          </w:tcPr>
          <w:p w14:paraId="2EDCA58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3,333.89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6584ABF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4,973.19 </w:t>
            </w:r>
          </w:p>
        </w:tc>
        <w:tc>
          <w:tcPr>
            <w:tcW w:w="1206" w:type="dxa"/>
            <w:tcBorders>
              <w:top w:val="single" w:color="000000" w:sz="4" w:space="0"/>
              <w:left w:val="single" w:color="000000" w:sz="4" w:space="0"/>
              <w:bottom w:val="nil"/>
            </w:tcBorders>
            <w:shd w:val="clear" w:color="auto" w:fill="auto"/>
            <w:noWrap/>
            <w:vAlign w:val="center"/>
          </w:tcPr>
          <w:p w14:paraId="1CD6C58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6,602.27 </w:t>
            </w:r>
          </w:p>
        </w:tc>
      </w:tr>
      <w:tr w14:paraId="1639E0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gridSpan w:val="7"/>
            <w:tcBorders>
              <w:top w:val="single" w:color="000000" w:sz="4" w:space="0"/>
              <w:bottom w:val="single" w:color="000000" w:sz="4" w:space="0"/>
              <w:right w:val="nil"/>
            </w:tcBorders>
            <w:shd w:val="clear" w:color="auto" w:fill="auto"/>
            <w:noWrap/>
            <w:vAlign w:val="center"/>
          </w:tcPr>
          <w:p w14:paraId="25F0859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主要财务指标-－组合融资方式</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634276A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18D098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36EC1BF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524B9A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投资收益倍数=项目总收益/项目总投资</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0DD8377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1.52 </w:t>
            </w:r>
          </w:p>
        </w:tc>
      </w:tr>
      <w:tr w14:paraId="040A1C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7DF5476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D86666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本金保障倍数=项目总收益/项目总债务融资本金</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3D6BFD1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 </w:t>
            </w:r>
          </w:p>
        </w:tc>
      </w:tr>
      <w:tr w14:paraId="42805D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6A8F3AA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22FE76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利息保障覆盖倍数=项目总收益/项目总债务融资利息</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4851BC3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2.71 </w:t>
            </w:r>
          </w:p>
        </w:tc>
      </w:tr>
      <w:tr w14:paraId="2D2785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6A08C88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CEF703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偿债覆盖倍数=项目总收益/项目总债务融资本息</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18A42E3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1.15 </w:t>
            </w:r>
          </w:p>
        </w:tc>
      </w:tr>
      <w:tr w14:paraId="2E5708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gridSpan w:val="7"/>
            <w:tcBorders>
              <w:top w:val="single" w:color="000000" w:sz="4" w:space="0"/>
              <w:bottom w:val="single" w:color="000000" w:sz="4" w:space="0"/>
              <w:right w:val="single" w:color="000000" w:sz="4" w:space="0"/>
            </w:tcBorders>
            <w:shd w:val="clear" w:color="auto" w:fill="auto"/>
            <w:noWrap/>
            <w:vAlign w:val="center"/>
          </w:tcPr>
          <w:p w14:paraId="1A90A72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主要财务指标-－专项债券融资</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5CAE0DE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725FF2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525549E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4DA0DF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本金保障倍数=平衡专项债券的收益/项目专项债券融资本金</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2A14109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 </w:t>
            </w:r>
          </w:p>
        </w:tc>
      </w:tr>
      <w:tr w14:paraId="1B4439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4DB820E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2511EB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利息保障覆盖倍数=平衡专项债券的收益/项目专项债券融资利息</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7558E5F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2.80 </w:t>
            </w:r>
          </w:p>
        </w:tc>
      </w:tr>
      <w:tr w14:paraId="044291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3E0D1B9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68F53E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偿债覆盖倍数=平衡专项债券的收益/项目专项债券融资本息</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07AB1EF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1.16 </w:t>
            </w:r>
          </w:p>
        </w:tc>
      </w:tr>
      <w:tr w14:paraId="196E42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gridSpan w:val="7"/>
            <w:tcBorders>
              <w:top w:val="single" w:color="000000" w:sz="4" w:space="0"/>
              <w:bottom w:val="single" w:color="000000" w:sz="4" w:space="0"/>
              <w:right w:val="single" w:color="000000" w:sz="4" w:space="0"/>
            </w:tcBorders>
            <w:shd w:val="clear" w:color="auto" w:fill="auto"/>
            <w:noWrap/>
            <w:vAlign w:val="center"/>
          </w:tcPr>
          <w:p w14:paraId="17221EB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主要财务指标-－市场化融资</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3D75688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5EE1FA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2AEA3C1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D3B310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本金保障倍数=平衡市场化融资的收益/项目市场化融资本金</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764C67E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 </w:t>
            </w:r>
          </w:p>
        </w:tc>
      </w:tr>
      <w:tr w14:paraId="0C47CF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bottom w:val="single" w:color="000000" w:sz="4" w:space="0"/>
              <w:right w:val="single" w:color="000000" w:sz="4" w:space="0"/>
            </w:tcBorders>
            <w:shd w:val="clear" w:color="auto" w:fill="auto"/>
            <w:vAlign w:val="center"/>
          </w:tcPr>
          <w:p w14:paraId="1892B2D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408B8B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利息保障覆盖倍数=平衡市场化融资的收益/项目市场化融资利息</w:t>
            </w:r>
          </w:p>
        </w:tc>
        <w:tc>
          <w:tcPr>
            <w:tcW w:w="4604" w:type="dxa"/>
            <w:gridSpan w:val="4"/>
            <w:tcBorders>
              <w:top w:val="single" w:color="000000" w:sz="4" w:space="0"/>
              <w:left w:val="single" w:color="000000" w:sz="4" w:space="0"/>
              <w:bottom w:val="single" w:color="000000" w:sz="4" w:space="0"/>
            </w:tcBorders>
            <w:shd w:val="clear" w:color="auto" w:fill="auto"/>
            <w:noWrap/>
            <w:vAlign w:val="center"/>
          </w:tcPr>
          <w:p w14:paraId="15763C2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2.58 </w:t>
            </w:r>
          </w:p>
        </w:tc>
      </w:tr>
      <w:tr w14:paraId="51EC7C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0" w:type="auto"/>
            <w:tcBorders>
              <w:top w:val="single" w:color="000000" w:sz="4" w:space="0"/>
              <w:right w:val="single" w:color="000000" w:sz="4" w:space="0"/>
            </w:tcBorders>
            <w:shd w:val="clear" w:color="auto" w:fill="auto"/>
            <w:vAlign w:val="center"/>
          </w:tcPr>
          <w:p w14:paraId="58DC937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0" w:type="auto"/>
            <w:gridSpan w:val="6"/>
            <w:tcBorders>
              <w:top w:val="single" w:color="000000" w:sz="4" w:space="0"/>
              <w:left w:val="single" w:color="000000" w:sz="4" w:space="0"/>
              <w:right w:val="single" w:color="000000" w:sz="4" w:space="0"/>
            </w:tcBorders>
            <w:shd w:val="clear" w:color="auto" w:fill="auto"/>
            <w:vAlign w:val="center"/>
          </w:tcPr>
          <w:p w14:paraId="2435834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偿债覆盖倍数=平衡市场化融资的收益/项目市场化融资本息</w:t>
            </w:r>
          </w:p>
        </w:tc>
        <w:tc>
          <w:tcPr>
            <w:tcW w:w="4604" w:type="dxa"/>
            <w:gridSpan w:val="4"/>
            <w:tcBorders>
              <w:top w:val="single" w:color="000000" w:sz="4" w:space="0"/>
              <w:left w:val="single" w:color="000000" w:sz="4" w:space="0"/>
            </w:tcBorders>
            <w:shd w:val="clear" w:color="auto" w:fill="auto"/>
            <w:noWrap/>
            <w:vAlign w:val="center"/>
          </w:tcPr>
          <w:p w14:paraId="2450E64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1.12 </w:t>
            </w:r>
          </w:p>
        </w:tc>
      </w:tr>
    </w:tbl>
    <w:p w14:paraId="0DA27FFC">
      <w:pPr>
        <w:pageBreakBefore w:val="0"/>
        <w:kinsoku/>
        <w:wordWrap/>
        <w:overflowPunct/>
        <w:topLinePunct w:val="0"/>
        <w:autoSpaceDE/>
        <w:autoSpaceDN/>
        <w:bidi w:val="0"/>
        <w:spacing w:line="540" w:lineRule="exact"/>
        <w:ind w:firstLine="640"/>
      </w:pPr>
      <w:r>
        <w:rPr>
          <w:rFonts w:hint="eastAsia"/>
        </w:rPr>
        <w:t>（续）</w:t>
      </w:r>
    </w:p>
    <w:tbl>
      <w:tblPr>
        <w:tblStyle w:val="18"/>
        <w:tblW w:w="4997" w:type="pct"/>
        <w:tblInd w:w="0" w:type="dxa"/>
        <w:tblLayout w:type="autofit"/>
        <w:tblCellMar>
          <w:top w:w="0" w:type="dxa"/>
          <w:left w:w="108" w:type="dxa"/>
          <w:bottom w:w="0" w:type="dxa"/>
          <w:right w:w="108" w:type="dxa"/>
        </w:tblCellMar>
      </w:tblPr>
      <w:tblGrid>
        <w:gridCol w:w="1056"/>
        <w:gridCol w:w="1340"/>
        <w:gridCol w:w="1316"/>
        <w:gridCol w:w="1206"/>
        <w:gridCol w:w="1206"/>
        <w:gridCol w:w="1206"/>
        <w:gridCol w:w="1206"/>
        <w:gridCol w:w="603"/>
        <w:gridCol w:w="603"/>
        <w:gridCol w:w="1206"/>
        <w:gridCol w:w="1206"/>
        <w:gridCol w:w="1206"/>
      </w:tblGrid>
      <w:tr w14:paraId="734896BF">
        <w:tblPrEx>
          <w:tblCellMar>
            <w:top w:w="0" w:type="dxa"/>
            <w:left w:w="108" w:type="dxa"/>
            <w:bottom w:w="0" w:type="dxa"/>
            <w:right w:w="108"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1897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489D0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阶段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E4BD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合计</w:t>
            </w:r>
          </w:p>
        </w:tc>
        <w:tc>
          <w:tcPr>
            <w:tcW w:w="0" w:type="auto"/>
            <w:gridSpan w:val="3"/>
            <w:tcBorders>
              <w:top w:val="single" w:color="000000" w:sz="4" w:space="0"/>
              <w:left w:val="nil"/>
              <w:bottom w:val="single" w:color="000000" w:sz="4" w:space="0"/>
              <w:right w:val="single" w:color="000000" w:sz="4" w:space="0"/>
            </w:tcBorders>
            <w:shd w:val="clear" w:color="auto" w:fill="auto"/>
            <w:noWrap/>
            <w:vAlign w:val="center"/>
          </w:tcPr>
          <w:p w14:paraId="3C9B33E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运营期</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B492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运营期</w:t>
            </w:r>
          </w:p>
        </w:tc>
      </w:tr>
      <w:tr w14:paraId="502BDEDF">
        <w:tblPrEx>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5B1E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37E02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自然年</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9E62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B9F8D3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2032</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54175F6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2033</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4CC7B28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2034</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18B208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2035</w:t>
            </w:r>
          </w:p>
        </w:tc>
        <w:tc>
          <w:tcPr>
            <w:tcW w:w="0" w:type="auto"/>
            <w:gridSpan w:val="2"/>
            <w:tcBorders>
              <w:top w:val="nil"/>
              <w:left w:val="single" w:color="000000" w:sz="4" w:space="0"/>
              <w:bottom w:val="single" w:color="000000" w:sz="4" w:space="0"/>
              <w:right w:val="single" w:color="000000" w:sz="4" w:space="0"/>
            </w:tcBorders>
            <w:shd w:val="clear" w:color="auto" w:fill="auto"/>
            <w:noWrap/>
            <w:vAlign w:val="center"/>
          </w:tcPr>
          <w:p w14:paraId="58D0B2B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2036</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5591D2A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2037</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0CD6A99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2038</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26DB31B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2039</w:t>
            </w:r>
          </w:p>
        </w:tc>
      </w:tr>
      <w:tr w14:paraId="220FB124">
        <w:tblPrEx>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858D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5B395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计算期</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D843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623538A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8</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7D0BBC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9</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03D5837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10</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80992D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11</w:t>
            </w:r>
          </w:p>
        </w:tc>
        <w:tc>
          <w:tcPr>
            <w:tcW w:w="0" w:type="auto"/>
            <w:gridSpan w:val="2"/>
            <w:tcBorders>
              <w:top w:val="nil"/>
              <w:left w:val="single" w:color="000000" w:sz="4" w:space="0"/>
              <w:bottom w:val="single" w:color="000000" w:sz="4" w:space="0"/>
              <w:right w:val="single" w:color="000000" w:sz="4" w:space="0"/>
            </w:tcBorders>
            <w:shd w:val="clear" w:color="auto" w:fill="auto"/>
            <w:noWrap/>
            <w:vAlign w:val="center"/>
          </w:tcPr>
          <w:p w14:paraId="5843D70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12</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9D3CD3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13</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2A4BE2D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14</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4D1DD4B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15</w:t>
            </w:r>
          </w:p>
        </w:tc>
      </w:tr>
      <w:tr w14:paraId="5E1A5D10">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2E84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B930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1F13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450E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6AC0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8F42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12CF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A399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4BEB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160F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81E6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2A777EC6">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E875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209AA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项目资本金（不含债券资金用作资本金）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60A7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13,800.00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0A6C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441B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72FA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12BA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602A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B3DD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0943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96ED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4E26C75E">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BFB4B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E18CE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专项债券</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833B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27,000.00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A3EC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D030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1408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AB76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3363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76E6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0559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6A8B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0F5ADC32">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8C73D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1B4EC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市场化融资资金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4756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18,000.00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C6AE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BF3D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F034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889D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51C3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CA25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F6BF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4311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08AD8CE2">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1324C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84D4F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项目总收益</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6F9F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89,519.58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E465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4,244.41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54AF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4,439.82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FA1D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4,427.61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6E33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4,414.67 </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2D8E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4,620.26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06D0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4,605.69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F995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4,590.23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984D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4,806.31 </w:t>
            </w:r>
          </w:p>
        </w:tc>
      </w:tr>
      <w:tr w14:paraId="1C5D6636">
        <w:tblPrEx>
          <w:tblCellMar>
            <w:top w:w="0" w:type="dxa"/>
            <w:left w:w="108" w:type="dxa"/>
            <w:bottom w:w="0" w:type="dxa"/>
            <w:right w:w="108" w:type="dxa"/>
          </w:tblCellMar>
        </w:tblPrEx>
        <w:tc>
          <w:tcPr>
            <w:tcW w:w="0" w:type="auto"/>
            <w:tcBorders>
              <w:top w:val="single" w:color="000000" w:sz="4" w:space="0"/>
              <w:left w:val="single" w:color="000000" w:sz="4" w:space="0"/>
              <w:bottom w:val="nil"/>
              <w:right w:val="single" w:color="000000" w:sz="4" w:space="0"/>
            </w:tcBorders>
            <w:shd w:val="clear" w:color="auto" w:fill="auto"/>
            <w:vAlign w:val="center"/>
          </w:tcPr>
          <w:p w14:paraId="38D8383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4.1</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0DB8A3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平衡专项债券的收益</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142F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53,711.75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475E2D9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2,546.64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4E7DA7C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2,663.89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5D95947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2,656.57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6C19A5D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2,648.80 </w:t>
            </w:r>
          </w:p>
        </w:tc>
        <w:tc>
          <w:tcPr>
            <w:tcW w:w="1206" w:type="dxa"/>
            <w:gridSpan w:val="2"/>
            <w:tcBorders>
              <w:top w:val="single" w:color="000000" w:sz="4" w:space="0"/>
              <w:left w:val="single" w:color="000000" w:sz="4" w:space="0"/>
              <w:bottom w:val="nil"/>
              <w:right w:val="single" w:color="000000" w:sz="4" w:space="0"/>
            </w:tcBorders>
            <w:shd w:val="clear" w:color="auto" w:fill="auto"/>
            <w:noWrap/>
            <w:vAlign w:val="center"/>
          </w:tcPr>
          <w:p w14:paraId="259C3A5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2,772.16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50E1583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2,763.41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F4B6BF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2,754.14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59CFA9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2,883.79 </w:t>
            </w:r>
          </w:p>
        </w:tc>
      </w:tr>
      <w:tr w14:paraId="47508584">
        <w:tblPrEx>
          <w:tblCellMar>
            <w:top w:w="0" w:type="dxa"/>
            <w:left w:w="108" w:type="dxa"/>
            <w:bottom w:w="0" w:type="dxa"/>
            <w:right w:w="108" w:type="dxa"/>
          </w:tblCellMar>
        </w:tblPrEx>
        <w:tc>
          <w:tcPr>
            <w:tcW w:w="0" w:type="auto"/>
            <w:tcBorders>
              <w:top w:val="single" w:color="000000" w:sz="4" w:space="0"/>
              <w:left w:val="single" w:color="000000" w:sz="4" w:space="0"/>
              <w:bottom w:val="nil"/>
              <w:right w:val="single" w:color="000000" w:sz="4" w:space="0"/>
            </w:tcBorders>
            <w:shd w:val="clear" w:color="auto" w:fill="auto"/>
            <w:vAlign w:val="center"/>
          </w:tcPr>
          <w:p w14:paraId="392F192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8D101A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平衡市场化融资的收益</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A2B2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35,807.83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1AA1752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1,697.76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2DA91FE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1,775.93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3360981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1,771.05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19BE0C0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1,765.87 </w:t>
            </w:r>
          </w:p>
        </w:tc>
        <w:tc>
          <w:tcPr>
            <w:tcW w:w="1206" w:type="dxa"/>
            <w:gridSpan w:val="2"/>
            <w:tcBorders>
              <w:top w:val="single" w:color="000000" w:sz="4" w:space="0"/>
              <w:left w:val="single" w:color="000000" w:sz="4" w:space="0"/>
              <w:bottom w:val="nil"/>
              <w:right w:val="single" w:color="000000" w:sz="4" w:space="0"/>
            </w:tcBorders>
            <w:shd w:val="clear" w:color="auto" w:fill="auto"/>
            <w:noWrap/>
            <w:vAlign w:val="center"/>
          </w:tcPr>
          <w:p w14:paraId="7D3175A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1,848.10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4D5EB07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1,842.27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4DAFA8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1,836.09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7724A8E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1,922.53 </w:t>
            </w:r>
          </w:p>
        </w:tc>
      </w:tr>
      <w:tr w14:paraId="5F9424BE">
        <w:tblPrEx>
          <w:tblCellMar>
            <w:top w:w="0" w:type="dxa"/>
            <w:left w:w="108" w:type="dxa"/>
            <w:bottom w:w="0" w:type="dxa"/>
            <w:right w:w="108" w:type="dxa"/>
          </w:tblCellMar>
        </w:tblPrEx>
        <w:tc>
          <w:tcPr>
            <w:tcW w:w="0" w:type="auto"/>
            <w:gridSpan w:val="2"/>
            <w:tcBorders>
              <w:top w:val="single" w:color="000000" w:sz="4" w:space="0"/>
              <w:left w:val="single" w:color="000000" w:sz="4" w:space="0"/>
              <w:bottom w:val="nil"/>
              <w:right w:val="single" w:color="000000" w:sz="4" w:space="0"/>
            </w:tcBorders>
            <w:shd w:val="clear" w:color="auto" w:fill="auto"/>
            <w:vAlign w:val="center"/>
          </w:tcPr>
          <w:p w14:paraId="4457726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资金来源小计</w:t>
            </w:r>
          </w:p>
        </w:tc>
        <w:tc>
          <w:tcPr>
            <w:tcW w:w="1316" w:type="dxa"/>
            <w:tcBorders>
              <w:top w:val="single" w:color="000000" w:sz="4" w:space="0"/>
              <w:left w:val="single" w:color="000000" w:sz="4" w:space="0"/>
              <w:bottom w:val="nil"/>
              <w:right w:val="single" w:color="000000" w:sz="4" w:space="0"/>
            </w:tcBorders>
            <w:shd w:val="clear" w:color="auto" w:fill="auto"/>
            <w:noWrap/>
            <w:vAlign w:val="center"/>
          </w:tcPr>
          <w:p w14:paraId="47791B0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148,319.58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DD7351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4,244.41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22D12CD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4,439.82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14E1A55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4,427.61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B0D387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4,414.67 </w:t>
            </w:r>
          </w:p>
        </w:tc>
        <w:tc>
          <w:tcPr>
            <w:tcW w:w="1206" w:type="dxa"/>
            <w:gridSpan w:val="2"/>
            <w:tcBorders>
              <w:top w:val="single" w:color="000000" w:sz="4" w:space="0"/>
              <w:left w:val="single" w:color="000000" w:sz="4" w:space="0"/>
              <w:bottom w:val="nil"/>
              <w:right w:val="single" w:color="000000" w:sz="4" w:space="0"/>
            </w:tcBorders>
            <w:shd w:val="clear" w:color="auto" w:fill="auto"/>
            <w:noWrap/>
            <w:vAlign w:val="center"/>
          </w:tcPr>
          <w:p w14:paraId="2641365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4,620.26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7D940D2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4,605.69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9E9484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4,590.23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18E2BCF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4,806.31 </w:t>
            </w:r>
          </w:p>
        </w:tc>
      </w:tr>
      <w:tr w14:paraId="339B147D">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3BEB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资金占用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CB25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5432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928F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517C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B185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2EC1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D709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0B60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4D4E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B74E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500E110F">
        <w:tblPrEx>
          <w:tblCellMar>
            <w:top w:w="0" w:type="dxa"/>
            <w:left w:w="108" w:type="dxa"/>
            <w:bottom w:w="0" w:type="dxa"/>
            <w:right w:w="108" w:type="dxa"/>
          </w:tblCellMar>
        </w:tblPrEx>
        <w:tc>
          <w:tcPr>
            <w:tcW w:w="0" w:type="auto"/>
            <w:tcBorders>
              <w:top w:val="nil"/>
              <w:left w:val="single" w:color="000000" w:sz="4" w:space="0"/>
              <w:bottom w:val="single" w:color="000000" w:sz="4" w:space="0"/>
              <w:right w:val="single" w:color="000000" w:sz="4" w:space="0"/>
            </w:tcBorders>
            <w:shd w:val="clear" w:color="auto" w:fill="auto"/>
            <w:vAlign w:val="center"/>
          </w:tcPr>
          <w:p w14:paraId="6BD7B3E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0" w:type="auto"/>
            <w:tcBorders>
              <w:top w:val="nil"/>
              <w:left w:val="single" w:color="000000" w:sz="4" w:space="0"/>
              <w:bottom w:val="single" w:color="000000" w:sz="4" w:space="0"/>
              <w:right w:val="single" w:color="000000" w:sz="4" w:space="0"/>
            </w:tcBorders>
            <w:shd w:val="clear" w:color="auto" w:fill="auto"/>
            <w:vAlign w:val="center"/>
          </w:tcPr>
          <w:p w14:paraId="75822C6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项目建设投资</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（静态，不含发行费）</w:t>
            </w:r>
          </w:p>
        </w:tc>
        <w:tc>
          <w:tcPr>
            <w:tcW w:w="1316" w:type="dxa"/>
            <w:tcBorders>
              <w:top w:val="nil"/>
              <w:left w:val="single" w:color="000000" w:sz="4" w:space="0"/>
              <w:bottom w:val="single" w:color="000000" w:sz="4" w:space="0"/>
              <w:right w:val="single" w:color="000000" w:sz="4" w:space="0"/>
            </w:tcBorders>
            <w:shd w:val="clear" w:color="auto" w:fill="auto"/>
            <w:noWrap/>
            <w:vAlign w:val="center"/>
          </w:tcPr>
          <w:p w14:paraId="656B4AF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55,865.47 </w:t>
            </w: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4298213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2857F2F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68DEAF7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500B9DF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gridSpan w:val="2"/>
            <w:tcBorders>
              <w:top w:val="nil"/>
              <w:left w:val="single" w:color="000000" w:sz="4" w:space="0"/>
              <w:bottom w:val="single" w:color="000000" w:sz="4" w:space="0"/>
              <w:right w:val="single" w:color="000000" w:sz="4" w:space="0"/>
            </w:tcBorders>
            <w:shd w:val="clear" w:color="auto" w:fill="auto"/>
            <w:noWrap/>
            <w:vAlign w:val="center"/>
          </w:tcPr>
          <w:p w14:paraId="4AE129A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3B56B63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7E267E8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0F087C8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47705DE1">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D2E17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550A9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债券发行费用</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3066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21.60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93CC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7E73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A426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AF8E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0C0A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AB6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0E08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5B41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28DD00C1">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E8971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937C0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归还专项债券本息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F974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46,170.00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D6A1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F9F1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C130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67E2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2D07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17C4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27D6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E5B0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r>
      <w:tr w14:paraId="68944FD6">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FB774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D0B5C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归还专项债券利息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EC96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19,170.00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2095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DC09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30B8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D9F1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A9CF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5B98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4020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E630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r>
      <w:tr w14:paraId="7E3B7C8B">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83CEB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A0B62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归还专项债券本金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38BB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27,000.00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D42F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7CB0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78E8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A290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217C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EABE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C559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54A3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7AD96876">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AC524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BB19E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归还市场化融资本息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A8AB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31,886.71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FF57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CF59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0088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C4F5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C522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637E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4EFF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E9CB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r>
      <w:tr w14:paraId="367D60C1">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5DFF1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262FD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归还市场化融资利息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B8CD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13,886.71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6026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912.06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E3F5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866.04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0F19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817.22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F9A4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765.43 </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5C72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710.48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86E9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652.19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CE14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590.35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B666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524.74 </w:t>
            </w:r>
          </w:p>
        </w:tc>
      </w:tr>
      <w:tr w14:paraId="0315D410">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86B46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9F1CF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归还市场化融资本金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834F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18,000.00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B88E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755.62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DE9C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801.63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DDEE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850.45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3DF7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902.25 </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FD82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957.19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17FE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1,015.49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F05E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1,077.33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D460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1,142.94 </w:t>
            </w:r>
          </w:p>
        </w:tc>
      </w:tr>
      <w:tr w14:paraId="36D65379">
        <w:tblPrEx>
          <w:tblCellMar>
            <w:top w:w="0" w:type="dxa"/>
            <w:left w:w="108" w:type="dxa"/>
            <w:bottom w:w="0" w:type="dxa"/>
            <w:right w:w="108" w:type="dxa"/>
          </w:tblCellMar>
        </w:tblPrEx>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E24F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资金占用小计</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D4F1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133,943.78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5C32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D7D2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0B4E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45DE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923D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3B44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D00E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59A3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r>
      <w:tr w14:paraId="4B44DB7D">
        <w:tblPrEx>
          <w:tblCellMar>
            <w:top w:w="0" w:type="dxa"/>
            <w:left w:w="108" w:type="dxa"/>
            <w:bottom w:w="0" w:type="dxa"/>
            <w:right w:w="108" w:type="dxa"/>
          </w:tblCellMar>
        </w:tblPrEx>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9CEA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当年资金结余</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19B3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14,375.80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612F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1,618.23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ECF1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1,813.64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51F1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1,801.44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466B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1,788.49 </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5C0E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1,994.08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0318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1,979.51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EA6F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1,964.05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4F1B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2,180.14 </w:t>
            </w:r>
          </w:p>
        </w:tc>
      </w:tr>
      <w:tr w14:paraId="32BECF8D">
        <w:tblPrEx>
          <w:tblCellMar>
            <w:top w:w="0" w:type="dxa"/>
            <w:left w:w="108" w:type="dxa"/>
            <w:bottom w:w="0" w:type="dxa"/>
            <w:right w:w="108" w:type="dxa"/>
          </w:tblCellMar>
        </w:tblPrEx>
        <w:tc>
          <w:tcPr>
            <w:tcW w:w="0" w:type="auto"/>
            <w:gridSpan w:val="2"/>
            <w:tcBorders>
              <w:top w:val="single" w:color="000000" w:sz="4" w:space="0"/>
              <w:left w:val="single" w:color="000000" w:sz="4" w:space="0"/>
              <w:bottom w:val="nil"/>
              <w:right w:val="single" w:color="000000" w:sz="4" w:space="0"/>
            </w:tcBorders>
            <w:shd w:val="clear" w:color="auto" w:fill="auto"/>
            <w:noWrap/>
            <w:vAlign w:val="center"/>
          </w:tcPr>
          <w:p w14:paraId="6D06E3E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期末累计资金结余</w:t>
            </w:r>
          </w:p>
        </w:tc>
        <w:tc>
          <w:tcPr>
            <w:tcW w:w="1316" w:type="dxa"/>
            <w:tcBorders>
              <w:top w:val="single" w:color="000000" w:sz="4" w:space="0"/>
              <w:left w:val="single" w:color="000000" w:sz="4" w:space="0"/>
              <w:bottom w:val="nil"/>
              <w:right w:val="single" w:color="000000" w:sz="4" w:space="0"/>
            </w:tcBorders>
            <w:shd w:val="clear" w:color="auto" w:fill="auto"/>
            <w:noWrap/>
            <w:vAlign w:val="center"/>
          </w:tcPr>
          <w:p w14:paraId="0DA8D67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69504D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8,220.50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8BDA54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10,034.14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32D0322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11,835.58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424B1E1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13,624.07 </w:t>
            </w:r>
          </w:p>
        </w:tc>
        <w:tc>
          <w:tcPr>
            <w:tcW w:w="1206" w:type="dxa"/>
            <w:gridSpan w:val="2"/>
            <w:tcBorders>
              <w:top w:val="single" w:color="000000" w:sz="4" w:space="0"/>
              <w:left w:val="single" w:color="000000" w:sz="4" w:space="0"/>
              <w:bottom w:val="nil"/>
              <w:right w:val="single" w:color="000000" w:sz="4" w:space="0"/>
            </w:tcBorders>
            <w:shd w:val="clear" w:color="auto" w:fill="auto"/>
            <w:noWrap/>
            <w:vAlign w:val="center"/>
          </w:tcPr>
          <w:p w14:paraId="3DD5A3D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15,618.16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593B71C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17,597.67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1090082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19,561.72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28EAD34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21,741.86 </w:t>
            </w:r>
          </w:p>
        </w:tc>
      </w:tr>
      <w:tr w14:paraId="2E44CA49">
        <w:tblPrEx>
          <w:tblCellMar>
            <w:top w:w="0" w:type="dxa"/>
            <w:left w:w="108" w:type="dxa"/>
            <w:bottom w:w="0" w:type="dxa"/>
            <w:right w:w="108" w:type="dxa"/>
          </w:tblCellMar>
        </w:tblPrEx>
        <w:tc>
          <w:tcPr>
            <w:tcW w:w="0" w:type="auto"/>
            <w:gridSpan w:val="3"/>
            <w:tcBorders>
              <w:top w:val="single" w:color="000000" w:sz="4" w:space="0"/>
              <w:left w:val="single" w:color="000000" w:sz="4" w:space="0"/>
              <w:bottom w:val="single" w:color="000000" w:sz="4" w:space="0"/>
              <w:right w:val="nil"/>
            </w:tcBorders>
            <w:shd w:val="clear" w:color="auto" w:fill="auto"/>
            <w:noWrap/>
            <w:vAlign w:val="center"/>
          </w:tcPr>
          <w:p w14:paraId="0403257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主要财务指标-－组合融资方式</w:t>
            </w:r>
          </w:p>
        </w:tc>
        <w:tc>
          <w:tcPr>
            <w:tcW w:w="0" w:type="auto"/>
            <w:gridSpan w:val="9"/>
            <w:tcBorders>
              <w:top w:val="single" w:color="000000" w:sz="4" w:space="0"/>
              <w:left w:val="nil"/>
              <w:bottom w:val="single" w:color="000000" w:sz="4" w:space="0"/>
              <w:right w:val="single" w:color="auto" w:sz="4" w:space="0"/>
            </w:tcBorders>
            <w:shd w:val="clear" w:color="auto" w:fill="auto"/>
            <w:noWrap/>
            <w:vAlign w:val="center"/>
          </w:tcPr>
          <w:p w14:paraId="460E454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1E9FA051">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4AD2E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312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84726A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投资收益倍数=项目总收益/项目总投资</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76D62BC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1.52 </w:t>
            </w:r>
          </w:p>
        </w:tc>
      </w:tr>
      <w:tr w14:paraId="416C6288">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1F4D7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312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F99D26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本金保障倍数=项目总收益/项目总债务融资本金</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38F337F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 </w:t>
            </w:r>
          </w:p>
        </w:tc>
      </w:tr>
      <w:tr w14:paraId="1C087966">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4CB3B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312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4FBACC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利息保障覆盖倍数=项目总收益/项目总债务融资利息</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7704D01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2.71 </w:t>
            </w:r>
          </w:p>
        </w:tc>
      </w:tr>
      <w:tr w14:paraId="5347B1F3">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32EA1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w:t>
            </w:r>
          </w:p>
        </w:tc>
        <w:tc>
          <w:tcPr>
            <w:tcW w:w="312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A59689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偿债覆盖倍数=项目总收益/项目总债务融资本息</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0C6703F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1.15 </w:t>
            </w:r>
          </w:p>
        </w:tc>
      </w:tr>
      <w:tr w14:paraId="2DD405E9">
        <w:tblPrEx>
          <w:tblCellMar>
            <w:top w:w="0" w:type="dxa"/>
            <w:left w:w="108" w:type="dxa"/>
            <w:bottom w:w="0" w:type="dxa"/>
            <w:right w:w="108" w:type="dxa"/>
          </w:tblCellMar>
        </w:tblPrEx>
        <w:tc>
          <w:tcPr>
            <w:tcW w:w="3509" w:type="pct"/>
            <w:gridSpan w:val="8"/>
            <w:tcBorders>
              <w:top w:val="single" w:color="000000" w:sz="4" w:space="0"/>
              <w:left w:val="single" w:color="000000" w:sz="4" w:space="0"/>
              <w:bottom w:val="single" w:color="000000" w:sz="4" w:space="0"/>
              <w:right w:val="nil"/>
            </w:tcBorders>
            <w:shd w:val="clear" w:color="auto" w:fill="auto"/>
            <w:noWrap/>
            <w:vAlign w:val="center"/>
          </w:tcPr>
          <w:p w14:paraId="3B3E2FD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主要财务指标-－专项债券融资</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5E8F961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2B9AA362">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F4DE0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312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D3C2A2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本金保障倍数=平衡专项债券的收益/项目专项债券融资本金</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638F8A7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 </w:t>
            </w:r>
          </w:p>
        </w:tc>
      </w:tr>
      <w:tr w14:paraId="498C2839">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24D9F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312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019DBC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利息保障覆盖倍数=平衡专项债券的收益/项目专项债券融资利息</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53759F7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2.80 </w:t>
            </w:r>
          </w:p>
        </w:tc>
      </w:tr>
      <w:tr w14:paraId="4D322676">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07F82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312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AD8CFA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偿债覆盖倍数=平衡专项债券的收益/项目专项债券融资本息</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3BACE28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1.16 </w:t>
            </w:r>
          </w:p>
        </w:tc>
      </w:tr>
      <w:tr w14:paraId="0AA8D8BD">
        <w:tblPrEx>
          <w:tblCellMar>
            <w:top w:w="0" w:type="dxa"/>
            <w:left w:w="108" w:type="dxa"/>
            <w:bottom w:w="0" w:type="dxa"/>
            <w:right w:w="108" w:type="dxa"/>
          </w:tblCellMar>
        </w:tblPrEx>
        <w:tc>
          <w:tcPr>
            <w:tcW w:w="3509" w:type="pct"/>
            <w:gridSpan w:val="8"/>
            <w:tcBorders>
              <w:top w:val="single" w:color="000000" w:sz="4" w:space="0"/>
              <w:left w:val="single" w:color="000000" w:sz="4" w:space="0"/>
              <w:bottom w:val="single" w:color="000000" w:sz="4" w:space="0"/>
              <w:right w:val="nil"/>
            </w:tcBorders>
            <w:shd w:val="clear" w:color="auto" w:fill="auto"/>
            <w:noWrap/>
            <w:vAlign w:val="center"/>
          </w:tcPr>
          <w:p w14:paraId="6DE296E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主要财务指标-－市场化融资</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4B0BD89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28C76699">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63CE3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312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16A070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本金保障倍数=平衡市场化融资的收益/项目市场化融资本金</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6BFD318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 </w:t>
            </w:r>
          </w:p>
        </w:tc>
      </w:tr>
      <w:tr w14:paraId="0B818FC5">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71AEA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312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3DD18B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利息保障覆盖倍数=平衡市场化融资的收益/项目市场化融资利息</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3492E41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2.58 </w:t>
            </w:r>
          </w:p>
        </w:tc>
      </w:tr>
      <w:tr w14:paraId="70EFFA3F">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EBEB1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312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EB3F33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偿债覆盖倍数=平衡市场化融资的收益/项目市场化融资本息</w:t>
            </w:r>
          </w:p>
        </w:tc>
        <w:tc>
          <w:tcPr>
            <w:tcW w:w="4221" w:type="dxa"/>
            <w:gridSpan w:val="4"/>
            <w:tcBorders>
              <w:top w:val="single" w:color="000000" w:sz="4" w:space="0"/>
              <w:left w:val="nil"/>
              <w:bottom w:val="single" w:color="000000" w:sz="4" w:space="0"/>
              <w:right w:val="single" w:color="auto" w:sz="4" w:space="0"/>
            </w:tcBorders>
            <w:shd w:val="clear" w:color="auto" w:fill="auto"/>
            <w:noWrap/>
            <w:vAlign w:val="center"/>
          </w:tcPr>
          <w:p w14:paraId="5C45582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1.12 </w:t>
            </w:r>
          </w:p>
        </w:tc>
      </w:tr>
    </w:tbl>
    <w:p w14:paraId="6199184E">
      <w:pPr>
        <w:pStyle w:val="21"/>
        <w:pageBreakBefore w:val="0"/>
        <w:kinsoku/>
        <w:wordWrap/>
        <w:overflowPunct/>
        <w:topLinePunct w:val="0"/>
        <w:autoSpaceDE/>
        <w:autoSpaceDN/>
        <w:bidi w:val="0"/>
        <w:spacing w:line="540" w:lineRule="exact"/>
        <w:ind w:firstLine="640"/>
      </w:pPr>
      <w:r>
        <w:rPr>
          <w:rFonts w:hint="eastAsia"/>
        </w:rPr>
        <w:t>（续）</w:t>
      </w:r>
    </w:p>
    <w:tbl>
      <w:tblPr>
        <w:tblStyle w:val="18"/>
        <w:tblW w:w="4997" w:type="pct"/>
        <w:tblInd w:w="0" w:type="dxa"/>
        <w:tblLayout w:type="autofit"/>
        <w:tblCellMar>
          <w:top w:w="0" w:type="dxa"/>
          <w:left w:w="108" w:type="dxa"/>
          <w:bottom w:w="0" w:type="dxa"/>
          <w:right w:w="108" w:type="dxa"/>
        </w:tblCellMar>
      </w:tblPr>
      <w:tblGrid>
        <w:gridCol w:w="1056"/>
        <w:gridCol w:w="2435"/>
        <w:gridCol w:w="1316"/>
        <w:gridCol w:w="1206"/>
        <w:gridCol w:w="1206"/>
        <w:gridCol w:w="1206"/>
        <w:gridCol w:w="1206"/>
        <w:gridCol w:w="1206"/>
        <w:gridCol w:w="1316"/>
        <w:gridCol w:w="1207"/>
      </w:tblGrid>
      <w:tr w14:paraId="77A98C36">
        <w:tblPrEx>
          <w:tblCellMar>
            <w:top w:w="0" w:type="dxa"/>
            <w:left w:w="108" w:type="dxa"/>
            <w:bottom w:w="0" w:type="dxa"/>
            <w:right w:w="108"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DF19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478B8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阶段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3261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合计</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4E16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运营期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762F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运营期</w:t>
            </w:r>
          </w:p>
        </w:tc>
      </w:tr>
      <w:tr w14:paraId="5E99DBB2">
        <w:tblPrEx>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03D2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082A9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自然年</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6339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62484DB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2040</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068779C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2041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27E9930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2042</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5442955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2043</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4C733A0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2044</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5B6E082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2045</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11812A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2046</w:t>
            </w:r>
          </w:p>
        </w:tc>
      </w:tr>
      <w:tr w14:paraId="0ABFA28D">
        <w:tblPrEx>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F1D8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66B0A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计算期</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CD07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6A8F7DD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16</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2F053D1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17</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7334E2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18</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C97B61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19</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140D627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20</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926F2C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61CC9BC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22</w:t>
            </w:r>
          </w:p>
        </w:tc>
      </w:tr>
      <w:tr w14:paraId="755B2C27">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65F6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83E8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0A05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4DFE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8DD1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DBEB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06B1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226B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A84B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C7B7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7CB01F34">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22B8C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84F80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项目资本金（不含债券资金用作资本金）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069D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13,800.00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64A8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2B27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DD66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99B3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095DA57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316" w:type="dxa"/>
            <w:tcBorders>
              <w:top w:val="nil"/>
              <w:left w:val="single" w:color="000000" w:sz="4" w:space="0"/>
              <w:bottom w:val="single" w:color="000000" w:sz="4" w:space="0"/>
              <w:right w:val="single" w:color="000000" w:sz="4" w:space="0"/>
            </w:tcBorders>
            <w:shd w:val="clear" w:color="auto" w:fill="auto"/>
            <w:noWrap/>
            <w:vAlign w:val="center"/>
          </w:tcPr>
          <w:p w14:paraId="23EFCE4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7" w:type="dxa"/>
            <w:tcBorders>
              <w:top w:val="nil"/>
              <w:left w:val="single" w:color="000000" w:sz="4" w:space="0"/>
              <w:bottom w:val="single" w:color="000000" w:sz="4" w:space="0"/>
              <w:right w:val="single" w:color="000000" w:sz="4" w:space="0"/>
            </w:tcBorders>
            <w:shd w:val="clear" w:color="auto" w:fill="auto"/>
            <w:noWrap/>
            <w:vAlign w:val="center"/>
          </w:tcPr>
          <w:p w14:paraId="50A784F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6512AFFC">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41C21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FE520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专项债券</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16F9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27,000.00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5019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2C80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B816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C7F7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4703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32DC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792D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7D0936DB">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86DDC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13EE0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市场化融资资金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DE66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18,000.00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83A2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A3FD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02C2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7E7E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9C01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0098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DEFA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665F397B">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3E586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F2B98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项目总收益</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CD52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89,519.58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CBC6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4,788.91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1E28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4,770.45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3C57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4,997.31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D6F5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4,976.53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22BD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4,954.48 </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9136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5,112.15 </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8953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4,965.03 </w:t>
            </w:r>
          </w:p>
        </w:tc>
      </w:tr>
      <w:tr w14:paraId="1E16D8B5">
        <w:tblPrEx>
          <w:tblCellMar>
            <w:top w:w="0" w:type="dxa"/>
            <w:left w:w="108" w:type="dxa"/>
            <w:bottom w:w="0" w:type="dxa"/>
            <w:right w:w="108" w:type="dxa"/>
          </w:tblCellMar>
        </w:tblPrEx>
        <w:tc>
          <w:tcPr>
            <w:tcW w:w="0" w:type="auto"/>
            <w:tcBorders>
              <w:top w:val="single" w:color="000000" w:sz="4" w:space="0"/>
              <w:left w:val="single" w:color="000000" w:sz="4" w:space="0"/>
              <w:bottom w:val="nil"/>
              <w:right w:val="single" w:color="000000" w:sz="4" w:space="0"/>
            </w:tcBorders>
            <w:shd w:val="clear" w:color="auto" w:fill="auto"/>
            <w:vAlign w:val="center"/>
          </w:tcPr>
          <w:p w14:paraId="6D15470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4.1</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B9EF31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平衡专项债券的收益</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DA10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53,711.75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1F5987E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2,873.35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4A96292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2,862.27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4006408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2,998.38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498589F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2,985.92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8B3428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2,972.69 </w:t>
            </w:r>
          </w:p>
        </w:tc>
        <w:tc>
          <w:tcPr>
            <w:tcW w:w="1316" w:type="dxa"/>
            <w:tcBorders>
              <w:top w:val="single" w:color="000000" w:sz="4" w:space="0"/>
              <w:left w:val="single" w:color="000000" w:sz="4" w:space="0"/>
              <w:bottom w:val="nil"/>
              <w:right w:val="single" w:color="000000" w:sz="4" w:space="0"/>
            </w:tcBorders>
            <w:shd w:val="clear" w:color="auto" w:fill="auto"/>
            <w:noWrap/>
            <w:vAlign w:val="center"/>
          </w:tcPr>
          <w:p w14:paraId="7CB4D9F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3,067.29 </w:t>
            </w:r>
          </w:p>
        </w:tc>
        <w:tc>
          <w:tcPr>
            <w:tcW w:w="1207" w:type="dxa"/>
            <w:tcBorders>
              <w:top w:val="single" w:color="000000" w:sz="4" w:space="0"/>
              <w:left w:val="single" w:color="000000" w:sz="4" w:space="0"/>
              <w:bottom w:val="nil"/>
              <w:right w:val="single" w:color="000000" w:sz="4" w:space="0"/>
            </w:tcBorders>
            <w:shd w:val="clear" w:color="auto" w:fill="auto"/>
            <w:noWrap/>
            <w:vAlign w:val="center"/>
          </w:tcPr>
          <w:p w14:paraId="13854CF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2,979.02 </w:t>
            </w:r>
          </w:p>
        </w:tc>
      </w:tr>
      <w:tr w14:paraId="1BD266A8">
        <w:tblPrEx>
          <w:tblCellMar>
            <w:top w:w="0" w:type="dxa"/>
            <w:left w:w="108" w:type="dxa"/>
            <w:bottom w:w="0" w:type="dxa"/>
            <w:right w:w="108" w:type="dxa"/>
          </w:tblCellMar>
        </w:tblPrEx>
        <w:tc>
          <w:tcPr>
            <w:tcW w:w="0" w:type="auto"/>
            <w:tcBorders>
              <w:top w:val="single" w:color="000000" w:sz="4" w:space="0"/>
              <w:left w:val="single" w:color="000000" w:sz="4" w:space="0"/>
              <w:bottom w:val="nil"/>
              <w:right w:val="single" w:color="000000" w:sz="4" w:space="0"/>
            </w:tcBorders>
            <w:shd w:val="clear" w:color="auto" w:fill="auto"/>
            <w:vAlign w:val="center"/>
          </w:tcPr>
          <w:p w14:paraId="6BAB32D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D7D59D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平衡市场化融资的收益</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5B0E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35,807.83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449E1AF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1,915.57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694461B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1,908.18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E699CE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1,998.92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08C5856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1,990.61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24B3480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1,981.79 </w:t>
            </w:r>
          </w:p>
        </w:tc>
        <w:tc>
          <w:tcPr>
            <w:tcW w:w="1316" w:type="dxa"/>
            <w:tcBorders>
              <w:top w:val="single" w:color="000000" w:sz="4" w:space="0"/>
              <w:left w:val="single" w:color="000000" w:sz="4" w:space="0"/>
              <w:bottom w:val="nil"/>
              <w:right w:val="single" w:color="000000" w:sz="4" w:space="0"/>
            </w:tcBorders>
            <w:shd w:val="clear" w:color="auto" w:fill="auto"/>
            <w:noWrap/>
            <w:vAlign w:val="center"/>
          </w:tcPr>
          <w:p w14:paraId="03DADA0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2,044.86 </w:t>
            </w:r>
          </w:p>
        </w:tc>
        <w:tc>
          <w:tcPr>
            <w:tcW w:w="1207" w:type="dxa"/>
            <w:tcBorders>
              <w:top w:val="single" w:color="000000" w:sz="4" w:space="0"/>
              <w:left w:val="single" w:color="000000" w:sz="4" w:space="0"/>
              <w:bottom w:val="nil"/>
              <w:right w:val="single" w:color="000000" w:sz="4" w:space="0"/>
            </w:tcBorders>
            <w:shd w:val="clear" w:color="auto" w:fill="auto"/>
            <w:noWrap/>
            <w:vAlign w:val="center"/>
          </w:tcPr>
          <w:p w14:paraId="2EAAEF0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1,986.01 </w:t>
            </w:r>
          </w:p>
        </w:tc>
      </w:tr>
      <w:tr w14:paraId="4508255C">
        <w:tblPrEx>
          <w:tblCellMar>
            <w:top w:w="0" w:type="dxa"/>
            <w:left w:w="108" w:type="dxa"/>
            <w:bottom w:w="0" w:type="dxa"/>
            <w:right w:w="108" w:type="dxa"/>
          </w:tblCellMar>
        </w:tblPrEx>
        <w:tc>
          <w:tcPr>
            <w:tcW w:w="0" w:type="auto"/>
            <w:gridSpan w:val="2"/>
            <w:tcBorders>
              <w:top w:val="single" w:color="000000" w:sz="4" w:space="0"/>
              <w:left w:val="single" w:color="000000" w:sz="4" w:space="0"/>
              <w:bottom w:val="nil"/>
              <w:right w:val="single" w:color="000000" w:sz="4" w:space="0"/>
            </w:tcBorders>
            <w:shd w:val="clear" w:color="auto" w:fill="auto"/>
            <w:vAlign w:val="center"/>
          </w:tcPr>
          <w:p w14:paraId="2FD5966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资金来源小计</w:t>
            </w:r>
          </w:p>
        </w:tc>
        <w:tc>
          <w:tcPr>
            <w:tcW w:w="1316" w:type="dxa"/>
            <w:tcBorders>
              <w:top w:val="single" w:color="000000" w:sz="4" w:space="0"/>
              <w:left w:val="single" w:color="000000" w:sz="4" w:space="0"/>
              <w:bottom w:val="nil"/>
              <w:right w:val="single" w:color="000000" w:sz="4" w:space="0"/>
            </w:tcBorders>
            <w:shd w:val="clear" w:color="auto" w:fill="auto"/>
            <w:noWrap/>
            <w:vAlign w:val="center"/>
          </w:tcPr>
          <w:p w14:paraId="171C0F6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148,319.58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19EEDFB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4,788.91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7BF7EE2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4,770.45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710B8DF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4,997.31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1703ED9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4,976.53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5B386F4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4,954.48 </w:t>
            </w:r>
          </w:p>
        </w:tc>
        <w:tc>
          <w:tcPr>
            <w:tcW w:w="1316" w:type="dxa"/>
            <w:tcBorders>
              <w:top w:val="single" w:color="000000" w:sz="4" w:space="0"/>
              <w:left w:val="single" w:color="000000" w:sz="4" w:space="0"/>
              <w:bottom w:val="nil"/>
              <w:right w:val="single" w:color="000000" w:sz="4" w:space="0"/>
            </w:tcBorders>
            <w:shd w:val="clear" w:color="auto" w:fill="auto"/>
            <w:noWrap/>
            <w:vAlign w:val="center"/>
          </w:tcPr>
          <w:p w14:paraId="362ED3D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5,112.15 </w:t>
            </w:r>
          </w:p>
        </w:tc>
        <w:tc>
          <w:tcPr>
            <w:tcW w:w="1207" w:type="dxa"/>
            <w:tcBorders>
              <w:top w:val="single" w:color="000000" w:sz="4" w:space="0"/>
              <w:left w:val="single" w:color="000000" w:sz="4" w:space="0"/>
              <w:bottom w:val="nil"/>
              <w:right w:val="single" w:color="000000" w:sz="4" w:space="0"/>
            </w:tcBorders>
            <w:shd w:val="clear" w:color="auto" w:fill="auto"/>
            <w:noWrap/>
            <w:vAlign w:val="center"/>
          </w:tcPr>
          <w:p w14:paraId="00E3469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4,965.03 </w:t>
            </w:r>
          </w:p>
        </w:tc>
      </w:tr>
      <w:tr w14:paraId="0C88F991">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7EE5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资金占用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242A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DB42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442D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1B9B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E9B8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0878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A552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4C90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36DD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6441C447">
        <w:tblPrEx>
          <w:tblCellMar>
            <w:top w:w="0" w:type="dxa"/>
            <w:left w:w="108" w:type="dxa"/>
            <w:bottom w:w="0" w:type="dxa"/>
            <w:right w:w="108" w:type="dxa"/>
          </w:tblCellMar>
        </w:tblPrEx>
        <w:tc>
          <w:tcPr>
            <w:tcW w:w="0" w:type="auto"/>
            <w:tcBorders>
              <w:top w:val="nil"/>
              <w:left w:val="single" w:color="000000" w:sz="4" w:space="0"/>
              <w:bottom w:val="single" w:color="000000" w:sz="4" w:space="0"/>
              <w:right w:val="single" w:color="000000" w:sz="4" w:space="0"/>
            </w:tcBorders>
            <w:shd w:val="clear" w:color="auto" w:fill="auto"/>
            <w:vAlign w:val="center"/>
          </w:tcPr>
          <w:p w14:paraId="3430646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0" w:type="auto"/>
            <w:tcBorders>
              <w:top w:val="nil"/>
              <w:left w:val="single" w:color="000000" w:sz="4" w:space="0"/>
              <w:bottom w:val="single" w:color="000000" w:sz="4" w:space="0"/>
              <w:right w:val="single" w:color="000000" w:sz="4" w:space="0"/>
            </w:tcBorders>
            <w:shd w:val="clear" w:color="auto" w:fill="auto"/>
            <w:vAlign w:val="center"/>
          </w:tcPr>
          <w:p w14:paraId="64F30F7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项目建设投资</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（静态，不含发行费）</w:t>
            </w:r>
          </w:p>
        </w:tc>
        <w:tc>
          <w:tcPr>
            <w:tcW w:w="1316" w:type="dxa"/>
            <w:tcBorders>
              <w:top w:val="nil"/>
              <w:left w:val="single" w:color="000000" w:sz="4" w:space="0"/>
              <w:bottom w:val="single" w:color="000000" w:sz="4" w:space="0"/>
              <w:right w:val="single" w:color="000000" w:sz="4" w:space="0"/>
            </w:tcBorders>
            <w:shd w:val="clear" w:color="auto" w:fill="auto"/>
            <w:noWrap/>
            <w:vAlign w:val="center"/>
          </w:tcPr>
          <w:p w14:paraId="2C9F5C9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55,865.47 </w:t>
            </w: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6090A02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317D38E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6AC77CB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2F20AE9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nil"/>
              <w:left w:val="single" w:color="000000" w:sz="4" w:space="0"/>
              <w:bottom w:val="single" w:color="000000" w:sz="4" w:space="0"/>
              <w:right w:val="single" w:color="000000" w:sz="4" w:space="0"/>
            </w:tcBorders>
            <w:shd w:val="clear" w:color="auto" w:fill="auto"/>
            <w:noWrap/>
            <w:vAlign w:val="center"/>
          </w:tcPr>
          <w:p w14:paraId="21FB9AE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316" w:type="dxa"/>
            <w:tcBorders>
              <w:top w:val="nil"/>
              <w:left w:val="single" w:color="000000" w:sz="4" w:space="0"/>
              <w:bottom w:val="single" w:color="000000" w:sz="4" w:space="0"/>
              <w:right w:val="single" w:color="000000" w:sz="4" w:space="0"/>
            </w:tcBorders>
            <w:shd w:val="clear" w:color="auto" w:fill="auto"/>
            <w:noWrap/>
            <w:vAlign w:val="center"/>
          </w:tcPr>
          <w:p w14:paraId="191F6B8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7" w:type="dxa"/>
            <w:tcBorders>
              <w:top w:val="nil"/>
              <w:left w:val="single" w:color="000000" w:sz="4" w:space="0"/>
              <w:bottom w:val="single" w:color="000000" w:sz="4" w:space="0"/>
              <w:right w:val="single" w:color="000000" w:sz="4" w:space="0"/>
            </w:tcBorders>
            <w:shd w:val="clear" w:color="auto" w:fill="auto"/>
            <w:noWrap/>
            <w:vAlign w:val="center"/>
          </w:tcPr>
          <w:p w14:paraId="5DCFA2E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33CBD953">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41438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9964F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债券发行费用</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98E2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21.60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738D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3559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DDD1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3E3A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7375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95F9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6206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0D48A903">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BAB08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65A08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归还专项债券本息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0941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46,170.00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FF0B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6CF4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CB07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5C4A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D575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8D1F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25,327.17 </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7339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2,381.65 </w:t>
            </w:r>
          </w:p>
        </w:tc>
      </w:tr>
      <w:tr w14:paraId="372AD866">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6CAF4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0A787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归还专项债券利息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9C1D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19,170.00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EE0E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90E6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6B2C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31CD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04E7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958.50 </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8BD1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627.17 </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7079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81.65 </w:t>
            </w:r>
          </w:p>
        </w:tc>
      </w:tr>
      <w:tr w14:paraId="1F315FB3">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BD589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4DF27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归还专项债券本金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8CD0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27,000.00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582F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D066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23C0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0769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0A99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1F0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24,700.00 </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09A5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2,300.00 </w:t>
            </w:r>
          </w:p>
        </w:tc>
      </w:tr>
      <w:tr w14:paraId="08F40BCE">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CF542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99FA6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归还市场化融资本息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7D9F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31,886.71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7170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64B2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BD47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F1EF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1E76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1,667.68 </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145D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957.85 </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1DF5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133.38 </w:t>
            </w:r>
          </w:p>
        </w:tc>
      </w:tr>
      <w:tr w14:paraId="79B825E1">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F561E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8B664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归还市场化融资利息</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A944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13,886.71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4876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455.13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10CC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381.29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8946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302.95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86F6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219.84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A8E1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131.66 </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373B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48.77 </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97DF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5.77 </w:t>
            </w:r>
          </w:p>
        </w:tc>
      </w:tr>
      <w:tr w14:paraId="087D5086">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B3871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B063C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归还市场化融资本金</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677A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18,000.00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0711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1,212.54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C84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1,286.39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1CBA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1,364.73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12FA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1,447.84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C7E6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1,536.01 </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1613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909.08 </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1187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127.61 </w:t>
            </w:r>
          </w:p>
        </w:tc>
      </w:tr>
      <w:tr w14:paraId="6381D2B7">
        <w:tblPrEx>
          <w:tblCellMar>
            <w:top w:w="0" w:type="dxa"/>
            <w:left w:w="108" w:type="dxa"/>
            <w:bottom w:w="0" w:type="dxa"/>
            <w:right w:w="108" w:type="dxa"/>
          </w:tblCellMar>
        </w:tblPrEx>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8E6E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资金占用小计</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E01B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133,943.78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14C6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D5AF4">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A0CD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773C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71C3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2,626.18 </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99AF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26,285.01 </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7DC2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2,515.03 </w:t>
            </w:r>
          </w:p>
        </w:tc>
      </w:tr>
      <w:tr w14:paraId="292EB7C4">
        <w:tblPrEx>
          <w:tblCellMar>
            <w:top w:w="0" w:type="dxa"/>
            <w:left w:w="108" w:type="dxa"/>
            <w:bottom w:w="0" w:type="dxa"/>
            <w:right w:w="108" w:type="dxa"/>
          </w:tblCellMar>
        </w:tblPrEx>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DE75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当年资金结余</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F4D9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14,375.80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C246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2,162.74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182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2,144.28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1E0A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2,371.13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B22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2,350.35 </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AFD2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2,328.31 </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6DA1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-21,172.86 </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E4FF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2,450.00 </w:t>
            </w:r>
          </w:p>
        </w:tc>
      </w:tr>
      <w:tr w14:paraId="13AEF843">
        <w:tblPrEx>
          <w:tblCellMar>
            <w:top w:w="0" w:type="dxa"/>
            <w:left w:w="108" w:type="dxa"/>
            <w:bottom w:w="0" w:type="dxa"/>
            <w:right w:w="108" w:type="dxa"/>
          </w:tblCellMar>
        </w:tblPrEx>
        <w:tc>
          <w:tcPr>
            <w:tcW w:w="0" w:type="auto"/>
            <w:gridSpan w:val="2"/>
            <w:tcBorders>
              <w:top w:val="single" w:color="000000" w:sz="4" w:space="0"/>
              <w:left w:val="single" w:color="000000" w:sz="4" w:space="0"/>
              <w:bottom w:val="nil"/>
              <w:right w:val="single" w:color="000000" w:sz="4" w:space="0"/>
            </w:tcBorders>
            <w:shd w:val="clear" w:color="auto" w:fill="auto"/>
            <w:noWrap/>
            <w:vAlign w:val="center"/>
          </w:tcPr>
          <w:p w14:paraId="09BF115F">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期末累计资金结余</w:t>
            </w:r>
          </w:p>
        </w:tc>
        <w:tc>
          <w:tcPr>
            <w:tcW w:w="1316" w:type="dxa"/>
            <w:tcBorders>
              <w:top w:val="single" w:color="000000" w:sz="4" w:space="0"/>
              <w:left w:val="single" w:color="000000" w:sz="4" w:space="0"/>
              <w:bottom w:val="nil"/>
              <w:right w:val="single" w:color="000000" w:sz="4" w:space="0"/>
            </w:tcBorders>
            <w:shd w:val="clear" w:color="auto" w:fill="auto"/>
            <w:noWrap/>
            <w:vAlign w:val="center"/>
          </w:tcPr>
          <w:p w14:paraId="442287CD">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15AD960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23,904.59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7CEFD13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26,048.87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42C3666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28,420.00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6BFFB6E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30,770.35 </w:t>
            </w:r>
          </w:p>
        </w:tc>
        <w:tc>
          <w:tcPr>
            <w:tcW w:w="1206" w:type="dxa"/>
            <w:tcBorders>
              <w:top w:val="single" w:color="000000" w:sz="4" w:space="0"/>
              <w:left w:val="single" w:color="000000" w:sz="4" w:space="0"/>
              <w:bottom w:val="nil"/>
              <w:right w:val="single" w:color="000000" w:sz="4" w:space="0"/>
            </w:tcBorders>
            <w:shd w:val="clear" w:color="auto" w:fill="auto"/>
            <w:noWrap/>
            <w:vAlign w:val="center"/>
          </w:tcPr>
          <w:p w14:paraId="4C3E0DF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33,098.66 </w:t>
            </w:r>
          </w:p>
        </w:tc>
        <w:tc>
          <w:tcPr>
            <w:tcW w:w="1316" w:type="dxa"/>
            <w:tcBorders>
              <w:top w:val="single" w:color="000000" w:sz="4" w:space="0"/>
              <w:left w:val="single" w:color="000000" w:sz="4" w:space="0"/>
              <w:bottom w:val="nil"/>
              <w:right w:val="single" w:color="000000" w:sz="4" w:space="0"/>
            </w:tcBorders>
            <w:shd w:val="clear" w:color="auto" w:fill="auto"/>
            <w:noWrap/>
            <w:vAlign w:val="center"/>
          </w:tcPr>
          <w:p w14:paraId="1085261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11,925.80 </w:t>
            </w:r>
          </w:p>
        </w:tc>
        <w:tc>
          <w:tcPr>
            <w:tcW w:w="1207" w:type="dxa"/>
            <w:tcBorders>
              <w:top w:val="single" w:color="000000" w:sz="4" w:space="0"/>
              <w:left w:val="single" w:color="000000" w:sz="4" w:space="0"/>
              <w:bottom w:val="nil"/>
              <w:right w:val="single" w:color="000000" w:sz="4" w:space="0"/>
            </w:tcBorders>
            <w:shd w:val="clear" w:color="auto" w:fill="auto"/>
            <w:noWrap/>
            <w:vAlign w:val="center"/>
          </w:tcPr>
          <w:p w14:paraId="2967A86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14,375.80 </w:t>
            </w:r>
          </w:p>
        </w:tc>
      </w:tr>
      <w:tr w14:paraId="0F094AC3">
        <w:tblPrEx>
          <w:tblCellMar>
            <w:top w:w="0" w:type="dxa"/>
            <w:left w:w="108" w:type="dxa"/>
            <w:bottom w:w="0" w:type="dxa"/>
            <w:right w:w="108" w:type="dxa"/>
          </w:tblCellMar>
        </w:tblPrEx>
        <w:tc>
          <w:tcPr>
            <w:tcW w:w="0" w:type="auto"/>
            <w:gridSpan w:val="3"/>
            <w:tcBorders>
              <w:top w:val="single" w:color="000000" w:sz="4" w:space="0"/>
              <w:left w:val="single" w:color="000000" w:sz="4" w:space="0"/>
              <w:bottom w:val="single" w:color="000000" w:sz="4" w:space="0"/>
              <w:right w:val="nil"/>
            </w:tcBorders>
            <w:shd w:val="clear" w:color="auto" w:fill="auto"/>
            <w:noWrap/>
            <w:vAlign w:val="center"/>
          </w:tcPr>
          <w:p w14:paraId="1333737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主要财务指标-－组合融资方式</w:t>
            </w:r>
          </w:p>
        </w:tc>
        <w:tc>
          <w:tcPr>
            <w:tcW w:w="0" w:type="auto"/>
            <w:gridSpan w:val="7"/>
            <w:tcBorders>
              <w:top w:val="single" w:color="000000" w:sz="4" w:space="0"/>
              <w:left w:val="nil"/>
              <w:bottom w:val="single" w:color="000000" w:sz="4" w:space="0"/>
              <w:right w:val="single" w:color="auto" w:sz="4" w:space="0"/>
            </w:tcBorders>
            <w:shd w:val="clear" w:color="auto" w:fill="auto"/>
            <w:noWrap/>
            <w:vAlign w:val="center"/>
          </w:tcPr>
          <w:p w14:paraId="3402AA9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1F471F74">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91678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28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CA21D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投资收益倍数=项目总收益/项目总投资</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6AEEDF7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1.52 </w:t>
            </w:r>
          </w:p>
        </w:tc>
      </w:tr>
      <w:tr w14:paraId="2429BADA">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93FAE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28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FDE8D8">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本金保障倍数=项目总收益/项目总债务融资本金</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6DB7C5A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 </w:t>
            </w:r>
          </w:p>
        </w:tc>
      </w:tr>
      <w:tr w14:paraId="6EAFC101">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9D3D6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28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C67C87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利息保障覆盖倍数=项目总收益/项目总债务融资利息</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48088A9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2.71 </w:t>
            </w:r>
          </w:p>
        </w:tc>
      </w:tr>
      <w:tr w14:paraId="67C2883E">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836EA5">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4</w:t>
            </w:r>
          </w:p>
        </w:tc>
        <w:tc>
          <w:tcPr>
            <w:tcW w:w="28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342EE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偿债覆盖倍数=项目总收益/项目总债务融资本息</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5749D192">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1.15 </w:t>
            </w:r>
          </w:p>
        </w:tc>
      </w:tr>
      <w:tr w14:paraId="74E396EA">
        <w:tblPrEx>
          <w:tblCellMar>
            <w:top w:w="0" w:type="dxa"/>
            <w:left w:w="108" w:type="dxa"/>
            <w:bottom w:w="0" w:type="dxa"/>
            <w:right w:w="108" w:type="dxa"/>
          </w:tblCellMar>
        </w:tblPrEx>
        <w:tc>
          <w:tcPr>
            <w:tcW w:w="3258" w:type="pct"/>
            <w:gridSpan w:val="6"/>
            <w:tcBorders>
              <w:top w:val="single" w:color="000000" w:sz="4" w:space="0"/>
              <w:left w:val="single" w:color="000000" w:sz="4" w:space="0"/>
              <w:bottom w:val="single" w:color="000000" w:sz="4" w:space="0"/>
              <w:right w:val="nil"/>
            </w:tcBorders>
            <w:shd w:val="clear" w:color="auto" w:fill="auto"/>
            <w:noWrap/>
            <w:vAlign w:val="center"/>
          </w:tcPr>
          <w:p w14:paraId="390C21E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主要财务指标-－专项债券融资</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334A169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497DA4FB">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C953B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28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5A56E5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本金保障倍数=平衡专项债券的收益/项目专项债券融资本金</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08B6F04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 </w:t>
            </w:r>
          </w:p>
        </w:tc>
      </w:tr>
      <w:tr w14:paraId="2D71BCCE">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4CCE3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28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0D8FE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利息保障覆盖倍数=平衡专项债券的收益/项目专项债券融资利息</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0B2D028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2.80 </w:t>
            </w:r>
          </w:p>
        </w:tc>
      </w:tr>
      <w:tr w14:paraId="1DF9DDE4">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3D3F3B">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28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3A424E">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偿债覆盖倍数=平衡专项债券的收益/项目专项债券融资本息</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2D45F55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1.16 </w:t>
            </w:r>
          </w:p>
        </w:tc>
      </w:tr>
      <w:tr w14:paraId="0BFBDBED">
        <w:tblPrEx>
          <w:tblCellMar>
            <w:top w:w="0" w:type="dxa"/>
            <w:left w:w="108" w:type="dxa"/>
            <w:bottom w:w="0" w:type="dxa"/>
            <w:right w:w="108" w:type="dxa"/>
          </w:tblCellMar>
        </w:tblPrEx>
        <w:tc>
          <w:tcPr>
            <w:tcW w:w="3258" w:type="pct"/>
            <w:gridSpan w:val="6"/>
            <w:tcBorders>
              <w:top w:val="single" w:color="000000" w:sz="4" w:space="0"/>
              <w:left w:val="single" w:color="000000" w:sz="4" w:space="0"/>
              <w:bottom w:val="single" w:color="000000" w:sz="4" w:space="0"/>
              <w:right w:val="nil"/>
            </w:tcBorders>
            <w:shd w:val="clear" w:color="auto" w:fill="auto"/>
            <w:noWrap/>
            <w:vAlign w:val="center"/>
          </w:tcPr>
          <w:p w14:paraId="5170978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主要财务指标-－市场化融资</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568601D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p>
        </w:tc>
      </w:tr>
      <w:tr w14:paraId="092736E0">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DFB630">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1</w:t>
            </w:r>
          </w:p>
        </w:tc>
        <w:tc>
          <w:tcPr>
            <w:tcW w:w="28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BFBDCA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本金保障倍数=平衡市场化融资的收益/项目市场化融资本金</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64E94C73">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1.99 </w:t>
            </w:r>
          </w:p>
        </w:tc>
      </w:tr>
      <w:tr w14:paraId="01290100">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97DC7A">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2</w:t>
            </w:r>
          </w:p>
        </w:tc>
        <w:tc>
          <w:tcPr>
            <w:tcW w:w="28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08AA07">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利息保障覆盖倍数=平衡市场化融资的收益/项目市场化融资利息</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1DB762C6">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2.58 </w:t>
            </w:r>
          </w:p>
        </w:tc>
      </w:tr>
      <w:tr w14:paraId="4B47BFE6">
        <w:tblPrEx>
          <w:tblCellMar>
            <w:top w:w="0" w:type="dxa"/>
            <w:left w:w="108" w:type="dxa"/>
            <w:bottom w:w="0" w:type="dxa"/>
            <w:right w:w="108"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CAEFC9">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3</w:t>
            </w:r>
          </w:p>
        </w:tc>
        <w:tc>
          <w:tcPr>
            <w:tcW w:w="28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FE9FBF1">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偿债覆盖倍数=平衡市场化融资的收益/项目市场化融资本息</w:t>
            </w:r>
          </w:p>
        </w:tc>
        <w:tc>
          <w:tcPr>
            <w:tcW w:w="4935" w:type="dxa"/>
            <w:gridSpan w:val="4"/>
            <w:tcBorders>
              <w:top w:val="single" w:color="000000" w:sz="4" w:space="0"/>
              <w:left w:val="nil"/>
              <w:bottom w:val="single" w:color="000000" w:sz="4" w:space="0"/>
              <w:right w:val="single" w:color="auto" w:sz="4" w:space="0"/>
            </w:tcBorders>
            <w:shd w:val="clear" w:color="auto" w:fill="auto"/>
            <w:noWrap/>
            <w:vAlign w:val="center"/>
          </w:tcPr>
          <w:p w14:paraId="0D91D21C">
            <w:pPr>
              <w:pageBreakBefore w:val="0"/>
              <w:kinsoku/>
              <w:wordWrap/>
              <w:overflowPunct/>
              <w:topLinePunct w:val="0"/>
              <w:autoSpaceDE/>
              <w:autoSpaceDN/>
              <w:bidi w:val="0"/>
              <w:spacing w:line="540" w:lineRule="exact"/>
              <w:ind w:firstLine="0" w:firstLineChars="0"/>
              <w:jc w:val="center"/>
              <w:textAlignment w:val="center"/>
              <w:rPr>
                <w:sz w:val="21"/>
                <w:szCs w:val="21"/>
                <w:lang w:bidi="ar"/>
              </w:rPr>
            </w:pPr>
            <w:r>
              <w:rPr>
                <w:rFonts w:hint="eastAsia" w:ascii="宋体" w:hAnsi="宋体" w:eastAsia="宋体" w:cs="宋体"/>
                <w:kern w:val="0"/>
                <w:sz w:val="21"/>
                <w:szCs w:val="21"/>
                <w:lang w:bidi="ar"/>
              </w:rPr>
              <w:t xml:space="preserve">1.12 </w:t>
            </w:r>
          </w:p>
        </w:tc>
      </w:tr>
    </w:tbl>
    <w:p w14:paraId="5403E879">
      <w:pPr>
        <w:pageBreakBefore w:val="0"/>
        <w:kinsoku/>
        <w:wordWrap/>
        <w:overflowPunct/>
        <w:topLinePunct w:val="0"/>
        <w:autoSpaceDE/>
        <w:autoSpaceDN/>
        <w:bidi w:val="0"/>
        <w:spacing w:line="540" w:lineRule="exact"/>
        <w:ind w:firstLine="640"/>
        <w:rPr>
          <w:rFonts w:hint="eastAsia"/>
        </w:rPr>
      </w:pPr>
    </w:p>
    <w:p w14:paraId="2C226E4D">
      <w:pPr>
        <w:pStyle w:val="21"/>
        <w:pageBreakBefore w:val="0"/>
        <w:kinsoku/>
        <w:wordWrap/>
        <w:overflowPunct/>
        <w:topLinePunct w:val="0"/>
        <w:autoSpaceDE/>
        <w:autoSpaceDN/>
        <w:bidi w:val="0"/>
        <w:spacing w:line="540" w:lineRule="exact"/>
        <w:ind w:firstLine="640"/>
        <w:rPr>
          <w:rFonts w:hint="eastAsia"/>
        </w:rPr>
      </w:pPr>
    </w:p>
    <w:p w14:paraId="7FF7D6F9">
      <w:pPr>
        <w:pageBreakBefore w:val="0"/>
        <w:widowControl/>
        <w:kinsoku/>
        <w:wordWrap/>
        <w:overflowPunct/>
        <w:topLinePunct w:val="0"/>
        <w:autoSpaceDE/>
        <w:autoSpaceDN/>
        <w:bidi w:val="0"/>
        <w:adjustRightInd w:val="0"/>
        <w:snapToGrid w:val="0"/>
        <w:spacing w:line="540" w:lineRule="exact"/>
        <w:ind w:firstLine="360"/>
        <w:jc w:val="right"/>
        <w:rPr>
          <w:rFonts w:cs="仿宋"/>
          <w:bCs/>
          <w:kern w:val="0"/>
          <w:sz w:val="18"/>
          <w:szCs w:val="18"/>
        </w:rPr>
      </w:pPr>
    </w:p>
    <w:p w14:paraId="4254B5DB">
      <w:pPr>
        <w:pageBreakBefore w:val="0"/>
        <w:widowControl/>
        <w:kinsoku/>
        <w:wordWrap/>
        <w:overflowPunct/>
        <w:topLinePunct w:val="0"/>
        <w:autoSpaceDE/>
        <w:autoSpaceDN/>
        <w:bidi w:val="0"/>
        <w:adjustRightInd w:val="0"/>
        <w:snapToGrid w:val="0"/>
        <w:spacing w:line="540" w:lineRule="exact"/>
        <w:ind w:firstLine="0" w:firstLineChars="0"/>
        <w:jc w:val="center"/>
        <w:textAlignment w:val="center"/>
        <w:rPr>
          <w:rFonts w:cs="仿宋"/>
          <w:kern w:val="0"/>
          <w:sz w:val="30"/>
          <w:szCs w:val="30"/>
        </w:rPr>
      </w:pPr>
    </w:p>
    <w:p w14:paraId="411717B3">
      <w:pPr>
        <w:pStyle w:val="17"/>
        <w:pageBreakBefore w:val="0"/>
        <w:kinsoku/>
        <w:wordWrap/>
        <w:overflowPunct/>
        <w:topLinePunct w:val="0"/>
        <w:autoSpaceDE/>
        <w:autoSpaceDN/>
        <w:bidi w:val="0"/>
        <w:spacing w:line="540" w:lineRule="exact"/>
        <w:ind w:left="640" w:firstLine="640"/>
        <w:rPr>
          <w:rFonts w:cs="仿宋"/>
        </w:rPr>
        <w:sectPr>
          <w:pgSz w:w="16838" w:h="11906" w:orient="landscape"/>
          <w:pgMar w:top="1644" w:right="2098" w:bottom="1418" w:left="1588" w:header="851" w:footer="992" w:gutter="0"/>
          <w:pgNumType w:fmt="numberInDash"/>
          <w:cols w:space="720" w:num="1"/>
          <w:docGrid w:type="lines" w:linePitch="435" w:charSpace="0"/>
        </w:sectPr>
      </w:pPr>
    </w:p>
    <w:p w14:paraId="5EF9E4C7">
      <w:pPr>
        <w:pageBreakBefore w:val="0"/>
        <w:kinsoku/>
        <w:wordWrap/>
        <w:overflowPunct/>
        <w:topLinePunct w:val="0"/>
        <w:autoSpaceDE/>
        <w:autoSpaceDN/>
        <w:bidi w:val="0"/>
        <w:spacing w:line="540" w:lineRule="exact"/>
        <w:ind w:firstLine="640"/>
        <w:rPr>
          <w:rFonts w:cs="仿宋"/>
          <w:szCs w:val="32"/>
        </w:rPr>
      </w:pPr>
      <w:r>
        <w:rPr>
          <w:rFonts w:hint="eastAsia" w:cs="仿宋"/>
          <w:szCs w:val="32"/>
        </w:rPr>
        <w:t>五、项目绩效目标</w:t>
      </w:r>
    </w:p>
    <w:p w14:paraId="6A6DC551">
      <w:pPr>
        <w:pageBreakBefore w:val="0"/>
        <w:widowControl/>
        <w:kinsoku/>
        <w:wordWrap/>
        <w:overflowPunct/>
        <w:topLinePunct w:val="0"/>
        <w:autoSpaceDE/>
        <w:autoSpaceDN/>
        <w:bidi w:val="0"/>
        <w:adjustRightInd w:val="0"/>
        <w:snapToGrid w:val="0"/>
        <w:spacing w:before="435" w:beforeLines="100" w:line="540" w:lineRule="exact"/>
        <w:ind w:firstLine="562"/>
        <w:jc w:val="left"/>
        <w:rPr>
          <w:rFonts w:cs="仿宋"/>
          <w:kern w:val="0"/>
          <w:sz w:val="28"/>
          <w:szCs w:val="20"/>
        </w:rPr>
      </w:pPr>
      <w:bookmarkStart w:id="4" w:name="_Toc28729"/>
      <w:r>
        <w:rPr>
          <w:rFonts w:hint="eastAsia" w:cs="仿宋"/>
          <w:b/>
          <w:kern w:val="0"/>
          <w:sz w:val="28"/>
          <w:szCs w:val="32"/>
        </w:rPr>
        <w:t>1.产出目标</w:t>
      </w:r>
      <w:bookmarkEnd w:id="4"/>
    </w:p>
    <w:p w14:paraId="3905ACD1">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（1）时效指标</w:t>
      </w:r>
    </w:p>
    <w:p w14:paraId="026AF6B1">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本项目计算期21年，其中建设期2年，运营期19年。项目按时完成前期工作率、工程按时开工率、工程按时竣工验收并按时运营率≥95%。</w:t>
      </w:r>
    </w:p>
    <w:p w14:paraId="6932AE05">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（2）数量指标</w:t>
      </w:r>
    </w:p>
    <w:p w14:paraId="1A532896">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项目预计建成项目规划净用地面积 33333.52平方米(约50亩);规划总建筑面积 108658.38平方米，其中地上建筑面积82121.58 平方米(1#-2#楼高层厂房、生产研发用房、门卫室);地下建筑面积26536.80平方米，其中地下机动车库面积 26044.80平方米，地下非机动车库面积492平方米:提供地下停车位 718个，同步建设新能源充电桩等配套基础设施。</w:t>
      </w:r>
    </w:p>
    <w:p w14:paraId="28A5FA02">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（3）质量指标</w:t>
      </w:r>
    </w:p>
    <w:p w14:paraId="2628D769">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建筑结构材料的规格、品种、型号和质量等，满足设计和有关规范、标准。</w:t>
      </w:r>
    </w:p>
    <w:p w14:paraId="32A895C8">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装饰材料符合现行国家法律、法规、规范及设计要求，同时还应符合经项目单位批准的材料样板的要求，并应根据材料的特性、使用部位来进行选择。</w:t>
      </w:r>
    </w:p>
    <w:p w14:paraId="57C008F7">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各分项工程检查一次性验收合格率达100%，工程竣工验收质量达到合同要求合格。</w:t>
      </w:r>
    </w:p>
    <w:p w14:paraId="16BE01AC">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（4）成本指标</w:t>
      </w:r>
    </w:p>
    <w:p w14:paraId="7777ABBF">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项目建设总投资成本≤</w:t>
      </w:r>
      <w:r>
        <w:rPr>
          <w:rFonts w:hint="eastAsia" w:cs="宋体"/>
          <w:kern w:val="0"/>
          <w:sz w:val="28"/>
          <w:szCs w:val="20"/>
        </w:rPr>
        <w:t>58,800.00</w:t>
      </w:r>
      <w:r>
        <w:rPr>
          <w:rFonts w:hint="eastAsia" w:ascii="宋体" w:hAnsi="宋体" w:eastAsia="宋体" w:cs="宋体"/>
          <w:kern w:val="0"/>
          <w:sz w:val="28"/>
          <w:szCs w:val="20"/>
        </w:rPr>
        <w:t>万元</w:t>
      </w:r>
      <w:r>
        <w:rPr>
          <w:rFonts w:hint="eastAsia" w:cs="仿宋"/>
          <w:kern w:val="0"/>
          <w:sz w:val="28"/>
          <w:szCs w:val="20"/>
        </w:rPr>
        <w:t>，运营期内，项目成本费用控制在预计范围内。</w:t>
      </w:r>
    </w:p>
    <w:p w14:paraId="57CC9A2A">
      <w:pPr>
        <w:pageBreakBefore w:val="0"/>
        <w:widowControl/>
        <w:kinsoku/>
        <w:wordWrap/>
        <w:overflowPunct/>
        <w:topLinePunct w:val="0"/>
        <w:autoSpaceDE/>
        <w:autoSpaceDN/>
        <w:bidi w:val="0"/>
        <w:adjustRightInd w:val="0"/>
        <w:snapToGrid w:val="0"/>
        <w:spacing w:line="540" w:lineRule="exact"/>
        <w:ind w:firstLine="562"/>
        <w:jc w:val="left"/>
        <w:rPr>
          <w:rFonts w:cs="仿宋"/>
          <w:kern w:val="0"/>
          <w:sz w:val="28"/>
          <w:szCs w:val="20"/>
        </w:rPr>
      </w:pPr>
      <w:bookmarkStart w:id="5" w:name="_Toc11904"/>
      <w:r>
        <w:rPr>
          <w:rFonts w:hint="eastAsia" w:cs="仿宋"/>
          <w:b/>
          <w:kern w:val="0"/>
          <w:sz w:val="28"/>
          <w:szCs w:val="32"/>
        </w:rPr>
        <w:t>2.效益目标</w:t>
      </w:r>
      <w:bookmarkEnd w:id="5"/>
    </w:p>
    <w:p w14:paraId="0E7A1BF0">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（1）社会效益指标</w:t>
      </w:r>
    </w:p>
    <w:p w14:paraId="0A38C5DD">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项目建成有利于促进区域经济协调发展，推动社会创业氛围，创造就业机会为企业入驻提供基础条件，项目建成后，大量高标准企业的落地也能够助推绵阳市的发展，促进当地的产业转型升级，提升园区和绵阳市的对外形象。</w:t>
      </w:r>
    </w:p>
    <w:p w14:paraId="098CF691">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（2）经济效益指标</w:t>
      </w:r>
    </w:p>
    <w:p w14:paraId="502FCFA9">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本项目的建成可以促进当地配套基础设施建设，产生新的经济增长点，促进社会经济结构调整和经济增长方式的转变；促进科技创新与产业创新相结合；增强当地产业链配套能力。</w:t>
      </w:r>
    </w:p>
    <w:p w14:paraId="5CC115DA">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（3）生态效益指标</w:t>
      </w:r>
    </w:p>
    <w:p w14:paraId="4256CE84">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项目施工期污水、废气、扬尘、固体废弃物、噪声等标准内排放率≥95%。</w:t>
      </w:r>
    </w:p>
    <w:p w14:paraId="3F934218">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项目运营期污水处理、生活垃圾、</w:t>
      </w:r>
      <w:r>
        <w:rPr>
          <w:rFonts w:hint="eastAsia" w:cs="仿宋"/>
          <w:kern w:val="0"/>
          <w:sz w:val="28"/>
          <w:szCs w:val="30"/>
        </w:rPr>
        <w:t>厨房油烟</w:t>
      </w:r>
      <w:r>
        <w:rPr>
          <w:rFonts w:hint="eastAsia" w:cs="仿宋"/>
          <w:kern w:val="0"/>
          <w:sz w:val="28"/>
          <w:szCs w:val="20"/>
        </w:rPr>
        <w:t>、建筑和装饰材料污染物散发、噪声等标准内排放率／控制率≥95%。</w:t>
      </w:r>
    </w:p>
    <w:p w14:paraId="0D21FFEE">
      <w:pPr>
        <w:keepNext/>
        <w:keepLines/>
        <w:pageBreakBefore w:val="0"/>
        <w:kinsoku/>
        <w:wordWrap/>
        <w:overflowPunct/>
        <w:topLinePunct w:val="0"/>
        <w:autoSpaceDE/>
        <w:autoSpaceDN/>
        <w:bidi w:val="0"/>
        <w:adjustRightInd w:val="0"/>
        <w:snapToGrid w:val="0"/>
        <w:spacing w:before="260" w:after="260" w:line="540" w:lineRule="exact"/>
        <w:ind w:firstLine="703" w:firstLineChars="250"/>
        <w:jc w:val="left"/>
        <w:outlineLvl w:val="2"/>
        <w:rPr>
          <w:rFonts w:cs="仿宋"/>
          <w:b/>
          <w:bCs/>
          <w:sz w:val="28"/>
          <w:szCs w:val="32"/>
        </w:rPr>
      </w:pPr>
      <w:bookmarkStart w:id="6" w:name="_Toc437"/>
      <w:r>
        <w:rPr>
          <w:rFonts w:hint="eastAsia" w:cs="仿宋"/>
          <w:b/>
          <w:bCs/>
          <w:sz w:val="28"/>
          <w:szCs w:val="32"/>
        </w:rPr>
        <w:t>3.可持续性影响</w:t>
      </w:r>
      <w:bookmarkEnd w:id="6"/>
    </w:p>
    <w:p w14:paraId="22D06710">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项目建设能保障地方经济与环境的可持续发展，解决当前，兼顾长远。全面实施公办学校标准化建设，全面改善教育薄弱学校办学条件，优化学校布局，实现县域内教育基本均衡。同时促进当地产业的健康、蓬勃发展，实现经济、社会与环境的协调发展和可持续发展。</w:t>
      </w:r>
    </w:p>
    <w:p w14:paraId="2EFE0A94">
      <w:pPr>
        <w:keepNext/>
        <w:keepLines/>
        <w:pageBreakBefore w:val="0"/>
        <w:kinsoku/>
        <w:wordWrap/>
        <w:overflowPunct/>
        <w:topLinePunct w:val="0"/>
        <w:autoSpaceDE/>
        <w:autoSpaceDN/>
        <w:bidi w:val="0"/>
        <w:adjustRightInd w:val="0"/>
        <w:snapToGrid w:val="0"/>
        <w:spacing w:before="260" w:after="260" w:line="540" w:lineRule="exact"/>
        <w:ind w:firstLine="703" w:firstLineChars="250"/>
        <w:jc w:val="left"/>
        <w:outlineLvl w:val="2"/>
        <w:rPr>
          <w:rFonts w:cs="仿宋"/>
          <w:b/>
          <w:bCs/>
          <w:sz w:val="28"/>
          <w:szCs w:val="32"/>
        </w:rPr>
      </w:pPr>
      <w:bookmarkStart w:id="7" w:name="_Toc22893"/>
      <w:r>
        <w:rPr>
          <w:rFonts w:hint="eastAsia" w:cs="仿宋"/>
          <w:b/>
          <w:bCs/>
          <w:sz w:val="28"/>
          <w:szCs w:val="32"/>
        </w:rPr>
        <w:t>4.服务对象满意度</w:t>
      </w:r>
      <w:bookmarkEnd w:id="7"/>
    </w:p>
    <w:p w14:paraId="47A154B4">
      <w:pPr>
        <w:pageBreakBefore w:val="0"/>
        <w:widowControl/>
        <w:kinsoku/>
        <w:wordWrap/>
        <w:overflowPunct/>
        <w:topLinePunct w:val="0"/>
        <w:autoSpaceDE/>
        <w:autoSpaceDN/>
        <w:bidi w:val="0"/>
        <w:adjustRightInd w:val="0"/>
        <w:snapToGrid w:val="0"/>
        <w:spacing w:line="540" w:lineRule="exact"/>
        <w:ind w:firstLine="560"/>
        <w:jc w:val="left"/>
        <w:rPr>
          <w:rFonts w:cs="仿宋"/>
          <w:kern w:val="0"/>
          <w:sz w:val="28"/>
          <w:szCs w:val="20"/>
        </w:rPr>
      </w:pPr>
      <w:r>
        <w:rPr>
          <w:rFonts w:hint="eastAsia" w:cs="仿宋"/>
          <w:kern w:val="0"/>
          <w:sz w:val="28"/>
          <w:szCs w:val="20"/>
        </w:rPr>
        <w:t>项目完成后，邀请社会经济效益覆盖的群众，居民，单位等公众进行评价，通过调查问卷，实地走访，发函询问等手段，获取满意度达到“良好/满意/80分”及以上。</w:t>
      </w:r>
    </w:p>
    <w:p w14:paraId="6760300C">
      <w:pPr>
        <w:pageBreakBefore w:val="0"/>
        <w:kinsoku/>
        <w:wordWrap/>
        <w:overflowPunct/>
        <w:topLinePunct w:val="0"/>
        <w:autoSpaceDE/>
        <w:autoSpaceDN/>
        <w:bidi w:val="0"/>
        <w:spacing w:before="435" w:beforeLines="100" w:after="120" w:line="540" w:lineRule="exact"/>
        <w:ind w:firstLine="643"/>
        <w:outlineLvl w:val="0"/>
        <w:rPr>
          <w:rFonts w:cs="仿宋"/>
          <w:b/>
          <w:bCs/>
          <w:szCs w:val="32"/>
        </w:rPr>
      </w:pPr>
      <w:r>
        <w:rPr>
          <w:rFonts w:hint="eastAsia" w:cs="仿宋"/>
          <w:b/>
          <w:bCs/>
          <w:szCs w:val="32"/>
        </w:rPr>
        <w:t>六、潜在影响项目的风险评估</w:t>
      </w:r>
    </w:p>
    <w:p w14:paraId="4073F3FB">
      <w:pPr>
        <w:pageBreakBefore w:val="0"/>
        <w:kinsoku/>
        <w:wordWrap/>
        <w:overflowPunct/>
        <w:topLinePunct w:val="0"/>
        <w:autoSpaceDE/>
        <w:autoSpaceDN/>
        <w:bidi w:val="0"/>
        <w:spacing w:line="540" w:lineRule="exact"/>
        <w:ind w:firstLine="560"/>
        <w:outlineLvl w:val="1"/>
        <w:rPr>
          <w:rFonts w:cs="仿宋"/>
          <w:sz w:val="28"/>
          <w:szCs w:val="28"/>
        </w:rPr>
      </w:pPr>
      <w:bookmarkStart w:id="8" w:name="_Toc522211116"/>
      <w:bookmarkStart w:id="9" w:name="_Toc31579"/>
      <w:bookmarkStart w:id="10" w:name="_Toc13272"/>
      <w:bookmarkStart w:id="11" w:name="_Toc20292"/>
      <w:bookmarkStart w:id="12" w:name="_Toc10507"/>
      <w:bookmarkStart w:id="13" w:name="_Toc19329"/>
      <w:bookmarkStart w:id="14" w:name="_Toc523481580"/>
      <w:bookmarkStart w:id="15" w:name="_Toc17567"/>
      <w:bookmarkStart w:id="16" w:name="_Toc8567"/>
      <w:bookmarkStart w:id="17" w:name="_Toc19307"/>
      <w:bookmarkStart w:id="18" w:name="_Toc24265"/>
      <w:bookmarkStart w:id="19" w:name="_Toc1719522"/>
      <w:bookmarkStart w:id="20" w:name="_Toc8221"/>
      <w:bookmarkStart w:id="21" w:name="_Toc3133"/>
      <w:bookmarkStart w:id="22" w:name="_Toc17546587"/>
      <w:bookmarkStart w:id="23" w:name="_Toc9001"/>
      <w:bookmarkStart w:id="24" w:name="_Toc23946"/>
      <w:bookmarkStart w:id="25" w:name="_Toc9837"/>
      <w:bookmarkStart w:id="26" w:name="_Toc533440373"/>
      <w:bookmarkStart w:id="27" w:name="_Toc11878"/>
      <w:r>
        <w:rPr>
          <w:rFonts w:hint="eastAsia" w:cs="仿宋"/>
          <w:kern w:val="0"/>
          <w:sz w:val="28"/>
          <w:szCs w:val="20"/>
        </w:rPr>
        <w:t>1</w:t>
      </w:r>
      <w:r>
        <w:rPr>
          <w:rFonts w:hint="eastAsia" w:cs="仿宋"/>
        </w:rPr>
        <w:t>.</w:t>
      </w:r>
      <w:r>
        <w:rPr>
          <w:rFonts w:hint="eastAsia" w:cs="仿宋"/>
          <w:sz w:val="28"/>
          <w:szCs w:val="28"/>
        </w:rPr>
        <w:t>自然环境和施工条件</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629E46F4">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识别：自然环境和施工条件风险主要是指恶劣的自然条件，恶劣的气候和环境，恶劣的现场条件以及不利的地理环境等。项目存在因自然环境和施工条件的因素而形成的风险，如地震，风暴，异常恶劣的雨、雪、冰冻天气等；未能预测到的特殊地质条件，如泥石流、河塘、流沙、泉眼等；恶劣的施工现场条件或考古文物保护等都会造成工期的拖延和财产的损失。</w:t>
      </w:r>
    </w:p>
    <w:p w14:paraId="5292DCA8">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控制措施：由自然环境和施工条件造成的风险最好的控制措施是通过购买保险等方式进行风险转移，风险转移是向保险公司投保，将项目部分风险损失转移给保险公司承担，本项目在建设期按照国家规定强制购买工程一切险，本项目保险费已按规定计入项目总投资其它建设费用类。</w:t>
      </w:r>
    </w:p>
    <w:p w14:paraId="7578AFFE">
      <w:pPr>
        <w:pageBreakBefore w:val="0"/>
        <w:kinsoku/>
        <w:wordWrap/>
        <w:overflowPunct/>
        <w:topLinePunct w:val="0"/>
        <w:autoSpaceDE/>
        <w:autoSpaceDN/>
        <w:bidi w:val="0"/>
        <w:spacing w:line="540" w:lineRule="exact"/>
        <w:ind w:firstLine="560"/>
        <w:outlineLvl w:val="1"/>
        <w:rPr>
          <w:rFonts w:cs="仿宋"/>
          <w:sz w:val="28"/>
          <w:szCs w:val="28"/>
        </w:rPr>
      </w:pPr>
      <w:bookmarkStart w:id="28" w:name="_Toc5424"/>
      <w:bookmarkStart w:id="29" w:name="_Toc19820"/>
      <w:bookmarkStart w:id="30" w:name="_Toc11694"/>
      <w:bookmarkStart w:id="31" w:name="_Toc8314"/>
      <w:bookmarkStart w:id="32" w:name="_Toc9730"/>
      <w:bookmarkStart w:id="33" w:name="_Toc20209"/>
      <w:bookmarkStart w:id="34" w:name="_Toc533440374"/>
      <w:bookmarkStart w:id="35" w:name="_Toc523481581"/>
      <w:bookmarkStart w:id="36" w:name="_Toc1719523"/>
      <w:bookmarkStart w:id="37" w:name="_Toc23366"/>
      <w:bookmarkStart w:id="38" w:name="_Toc4903"/>
      <w:bookmarkStart w:id="39" w:name="_Toc522211117"/>
      <w:bookmarkStart w:id="40" w:name="_Toc17546588"/>
      <w:bookmarkStart w:id="41" w:name="_Toc8987"/>
      <w:bookmarkStart w:id="42" w:name="_Toc1902"/>
      <w:bookmarkStart w:id="43" w:name="_Toc3884"/>
      <w:bookmarkStart w:id="44" w:name="_Toc9961"/>
      <w:bookmarkStart w:id="45" w:name="_Toc4753"/>
      <w:bookmarkStart w:id="46" w:name="_Toc27268"/>
      <w:r>
        <w:rPr>
          <w:rFonts w:hint="eastAsia" w:cs="仿宋"/>
          <w:sz w:val="28"/>
          <w:szCs w:val="28"/>
        </w:rPr>
        <w:t>2.来源于施工方的风险因素</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1ED6F332">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识别：施工方的风险因素主要由施工技术不当、管理方案不完善导致。管理者及工程人员的水平和工作态度的影响；施工管理不善、发包方、承包方、监理方不行形成高效的合作机制；建筑原材料、成品、半成品质量的影响；施工所采用的技术方案、工艺流程、管理组织措施的影响。</w:t>
      </w:r>
    </w:p>
    <w:p w14:paraId="0DE6A383">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控制措施：在招标和工程实施中应确保相关人员的素质和水平，特别是设计负责人和专业负责人、总监理工程师、施工项目经理、业主代表及各类管理人员。对建筑原材料（如水泥、砂石、钢材，机械设备、电线电缆、管材以及其它成品、半成品等），必须严格从招标、签定合同、出厂合格证、进场检测、现场保管、安装调试、工程验收等各个环节把好关，杜绝不合格产品和材料用于工程建设。</w:t>
      </w:r>
    </w:p>
    <w:p w14:paraId="644AD5E5">
      <w:pPr>
        <w:pageBreakBefore w:val="0"/>
        <w:kinsoku/>
        <w:wordWrap/>
        <w:overflowPunct/>
        <w:topLinePunct w:val="0"/>
        <w:autoSpaceDE/>
        <w:autoSpaceDN/>
        <w:bidi w:val="0"/>
        <w:spacing w:line="540" w:lineRule="exact"/>
        <w:ind w:firstLine="560"/>
        <w:outlineLvl w:val="1"/>
        <w:rPr>
          <w:rFonts w:cs="仿宋"/>
          <w:sz w:val="28"/>
          <w:szCs w:val="28"/>
        </w:rPr>
      </w:pPr>
      <w:bookmarkStart w:id="47" w:name="_Toc533440375"/>
      <w:bookmarkStart w:id="48" w:name="_Toc6870"/>
      <w:bookmarkStart w:id="49" w:name="_Toc6172"/>
      <w:bookmarkStart w:id="50" w:name="_Toc1719524"/>
      <w:bookmarkStart w:id="51" w:name="_Toc3244"/>
      <w:bookmarkStart w:id="52" w:name="_Toc28355"/>
      <w:bookmarkStart w:id="53" w:name="_Toc32054"/>
      <w:bookmarkStart w:id="54" w:name="_Toc523481582"/>
      <w:bookmarkStart w:id="55" w:name="_Toc17546589"/>
      <w:bookmarkStart w:id="56" w:name="_Toc26119"/>
      <w:bookmarkStart w:id="57" w:name="_Toc522211118"/>
      <w:bookmarkStart w:id="58" w:name="_Toc9158"/>
      <w:bookmarkStart w:id="59" w:name="_Toc16602"/>
      <w:bookmarkStart w:id="60" w:name="_Toc20901"/>
      <w:bookmarkStart w:id="61" w:name="_Toc8590"/>
      <w:bookmarkStart w:id="62" w:name="_Toc29272"/>
      <w:bookmarkStart w:id="63" w:name="_Toc20569"/>
      <w:bookmarkStart w:id="64" w:name="_Toc19050"/>
      <w:bookmarkStart w:id="65" w:name="_Toc4267"/>
      <w:r>
        <w:rPr>
          <w:rFonts w:hint="eastAsia" w:cs="仿宋"/>
          <w:sz w:val="28"/>
          <w:szCs w:val="28"/>
        </w:rPr>
        <w:t>3.来源于设计单位的风险因素</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1A9A828C">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识别：设计风险主要体现在设计质量、设计变更两个方面。设计质量风险，因设计单位水平不足，导致项目设计不合理，技术方案表达不充分，质量达不到国家相关规范标准要求，或评审、验证不够充分，导致设计缺陷；设计变更会影响施工安排，会导致施工进度延误，造成承包人工期推延和经济损失。</w:t>
      </w:r>
    </w:p>
    <w:p w14:paraId="1B6845C7">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控制措施：应拟订规划设计大纲，明确设计质量标准。在设计阶段，设计单位因充分了解项目情况，勘察仔细，因地制宜，评估到位，设计合理、规范满足国家规范、标准，评审环节充分验证、符合仔细，保证设计质量。阶段设计完成后，应进行全面审核，内容包括计划投资、方案比选、文件规范、结构安全、工艺先进性、技术合理性、施工可行性。提交施工图后及时报送进行施工图审查、设计交底和图纸会审。施工中派驻设计代表，明确责任到位，参加防线、验槽、隐蔽工程验收、单项和总体工程验收等，负责现场解决设计技术问题。对设计变更，尽量提前实现，尽可能把设计变更控制在设计阶段初期，特别是对影响工程造价的重大设计变更，更要用先算账后变更的办法解决，使工程造价得到解决有效控制，同时保证施工进度。</w:t>
      </w:r>
    </w:p>
    <w:p w14:paraId="0DA930FB">
      <w:pPr>
        <w:pageBreakBefore w:val="0"/>
        <w:kinsoku/>
        <w:wordWrap/>
        <w:overflowPunct/>
        <w:topLinePunct w:val="0"/>
        <w:autoSpaceDE/>
        <w:autoSpaceDN/>
        <w:bidi w:val="0"/>
        <w:spacing w:line="540" w:lineRule="exact"/>
        <w:ind w:firstLine="560"/>
        <w:outlineLvl w:val="1"/>
        <w:rPr>
          <w:rFonts w:cs="仿宋"/>
          <w:sz w:val="28"/>
          <w:szCs w:val="28"/>
        </w:rPr>
      </w:pPr>
      <w:bookmarkStart w:id="66" w:name="_Toc14970"/>
      <w:bookmarkStart w:id="67" w:name="_Toc6452"/>
      <w:bookmarkStart w:id="68" w:name="_Toc533440376"/>
      <w:bookmarkStart w:id="69" w:name="_Toc17264"/>
      <w:bookmarkStart w:id="70" w:name="_Toc9854"/>
      <w:bookmarkStart w:id="71" w:name="_Toc20711"/>
      <w:bookmarkStart w:id="72" w:name="_Toc523481583"/>
      <w:bookmarkStart w:id="73" w:name="_Toc17546590"/>
      <w:bookmarkStart w:id="74" w:name="_Toc15109"/>
      <w:bookmarkStart w:id="75" w:name="_Toc865"/>
      <w:bookmarkStart w:id="76" w:name="_Toc24646"/>
      <w:bookmarkStart w:id="77" w:name="_Toc3278"/>
      <w:bookmarkStart w:id="78" w:name="_Toc19097"/>
      <w:bookmarkStart w:id="79" w:name="_Toc12405"/>
      <w:bookmarkStart w:id="80" w:name="_Toc6360"/>
      <w:bookmarkStart w:id="81" w:name="_Toc522211119"/>
      <w:bookmarkStart w:id="82" w:name="_Toc10613"/>
      <w:bookmarkStart w:id="83" w:name="_Toc1719525"/>
      <w:bookmarkStart w:id="84" w:name="_Toc4485"/>
      <w:r>
        <w:rPr>
          <w:rFonts w:hint="eastAsia" w:cs="仿宋"/>
          <w:sz w:val="28"/>
          <w:szCs w:val="28"/>
        </w:rPr>
        <w:t>4.来源于供应商的风险因素</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3E946BAE">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识别：来源于供应商的风险因素包括选择供应商不当，供应商自担风险的能力较低，劳动力市场、材料市场、设备市场等，这些市场价格的变化，特别是价格的上涨。造成供应商违约，不能按质按量按期完成分包工程，从而影响整个工程的进度或发生经济损失；</w:t>
      </w:r>
    </w:p>
    <w:p w14:paraId="5C8DE4D8">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控制措施：项目在选择供应商时，应选择信誉好、实力强、自担风险能力较高的供应商，或设置合理的调价机制，对价格上涨风情况进行一定的调价约定，降低供应商违约风险。同时可以通过收取履约保证金的方式，降低违约风险。</w:t>
      </w:r>
    </w:p>
    <w:p w14:paraId="39808A4C">
      <w:pPr>
        <w:pageBreakBefore w:val="0"/>
        <w:kinsoku/>
        <w:wordWrap/>
        <w:overflowPunct/>
        <w:topLinePunct w:val="0"/>
        <w:autoSpaceDE/>
        <w:autoSpaceDN/>
        <w:bidi w:val="0"/>
        <w:spacing w:line="540" w:lineRule="exact"/>
        <w:ind w:firstLine="560"/>
        <w:outlineLvl w:val="1"/>
        <w:rPr>
          <w:rFonts w:cs="仿宋"/>
          <w:sz w:val="28"/>
          <w:szCs w:val="28"/>
        </w:rPr>
      </w:pPr>
      <w:bookmarkStart w:id="85" w:name="_Toc1719526"/>
      <w:bookmarkStart w:id="86" w:name="_Toc523481584"/>
      <w:bookmarkStart w:id="87" w:name="_Toc533440377"/>
      <w:bookmarkStart w:id="88" w:name="_Toc4257"/>
      <w:bookmarkStart w:id="89" w:name="_Toc24197"/>
      <w:bookmarkStart w:id="90" w:name="_Toc3246"/>
      <w:bookmarkStart w:id="91" w:name="_Toc917"/>
      <w:bookmarkStart w:id="92" w:name="_Toc17546591"/>
      <w:bookmarkStart w:id="93" w:name="_Toc6631"/>
      <w:bookmarkStart w:id="94" w:name="_Toc11220"/>
      <w:bookmarkStart w:id="95" w:name="_Toc17686"/>
      <w:bookmarkStart w:id="96" w:name="_Toc522211120"/>
      <w:bookmarkStart w:id="97" w:name="_Toc19736"/>
      <w:bookmarkStart w:id="98" w:name="_Toc14916"/>
      <w:bookmarkStart w:id="99" w:name="_Toc30520"/>
      <w:bookmarkStart w:id="100" w:name="_Toc15152"/>
      <w:bookmarkStart w:id="101" w:name="_Toc24695"/>
      <w:bookmarkStart w:id="102" w:name="_Toc17018"/>
      <w:bookmarkStart w:id="103" w:name="_Toc23826"/>
      <w:r>
        <w:rPr>
          <w:rFonts w:hint="eastAsia" w:cs="仿宋"/>
          <w:sz w:val="28"/>
          <w:szCs w:val="28"/>
        </w:rPr>
        <w:t>5.资金落实情况</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144A9307">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风险识别：资金落实风险主要是因融资、拨款等环节的各种客、主观原因，资金不能及时到位，导致项目建设停工或拖延；或是利率变化导致融资成本升高而形成的。</w:t>
      </w:r>
    </w:p>
    <w:p w14:paraId="147C3907">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控制措施：建议项目可以拓展各种融资渠道，准确把握国家宏观经济政策、国家及地方产业发展政策，充分利用有利条件，在其变化时及时调整策略。加强对项目的资金管理，落实建设资金，保证工程按期完工。</w:t>
      </w:r>
    </w:p>
    <w:p w14:paraId="5447A479">
      <w:pPr>
        <w:pageBreakBefore w:val="0"/>
        <w:kinsoku/>
        <w:wordWrap/>
        <w:overflowPunct/>
        <w:topLinePunct w:val="0"/>
        <w:autoSpaceDE/>
        <w:autoSpaceDN/>
        <w:bidi w:val="0"/>
        <w:spacing w:line="540" w:lineRule="exact"/>
        <w:ind w:firstLine="560"/>
        <w:outlineLvl w:val="1"/>
        <w:rPr>
          <w:rFonts w:cs="仿宋"/>
          <w:sz w:val="28"/>
          <w:szCs w:val="28"/>
        </w:rPr>
      </w:pPr>
      <w:bookmarkStart w:id="104" w:name="_Toc11056"/>
      <w:bookmarkStart w:id="105" w:name="_Toc3287"/>
      <w:bookmarkStart w:id="106" w:name="_Toc1406"/>
      <w:bookmarkStart w:id="107" w:name="_Toc2792"/>
      <w:bookmarkStart w:id="108" w:name="_Toc25838"/>
      <w:bookmarkStart w:id="109" w:name="_Toc24179"/>
      <w:bookmarkStart w:id="110" w:name="_Toc2256"/>
      <w:bookmarkStart w:id="111" w:name="_Toc522211121"/>
      <w:bookmarkStart w:id="112" w:name="_Toc16315"/>
      <w:bookmarkStart w:id="113" w:name="_Toc17546592"/>
      <w:bookmarkStart w:id="114" w:name="_Toc523481585"/>
      <w:bookmarkStart w:id="115" w:name="_Toc32413"/>
      <w:bookmarkStart w:id="116" w:name="_Toc27123"/>
      <w:bookmarkStart w:id="117" w:name="_Toc1719527"/>
      <w:bookmarkStart w:id="118" w:name="_Toc19503"/>
      <w:bookmarkStart w:id="119" w:name="_Toc533440378"/>
      <w:bookmarkStart w:id="120" w:name="_Toc21095"/>
      <w:bookmarkStart w:id="121" w:name="_Toc29925"/>
      <w:bookmarkStart w:id="122" w:name="_Toc21427"/>
      <w:r>
        <w:rPr>
          <w:rFonts w:hint="eastAsia" w:cs="仿宋"/>
          <w:sz w:val="28"/>
          <w:szCs w:val="28"/>
        </w:rPr>
        <w:t>6.工程事故</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1236864D">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风险识别：工程事故风险主要存在于施工过程中，施工中人的不安全行为、物的不安全状态、作业环境的不安全因素和管理缺陷是项目发生工程事故的主要原因，必须采取有针对性的控制措施。</w:t>
      </w:r>
    </w:p>
    <w:p w14:paraId="3FA7A9BD">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风险控制措施：工程事故问题是建设工程项目的核心问题，存在较大风险。在项目前期招标过程中，选定设计、监理、施工、设备材料供应商时，应把安全和防止质量事故作为重要因素考虑。在审查相关单位设计文件、监理实施细则、施工组织设计、设备招标文件以及签订合同时都应给予足够重视。项目建设期间，必须在安全危险源识别、评估基础上，编制施工组织设计和施工方案，制定安全技术措施和施工现场临时用电方案；对危险性较大分部分项工程，编制专项安全施工方案。应派驻经验丰富的甲方代表加强该方面工作，遇到质量、安全隐患及时提出整改要求。</w:t>
      </w:r>
    </w:p>
    <w:p w14:paraId="7BF45DCB">
      <w:pPr>
        <w:pageBreakBefore w:val="0"/>
        <w:kinsoku/>
        <w:wordWrap/>
        <w:overflowPunct/>
        <w:topLinePunct w:val="0"/>
        <w:autoSpaceDE/>
        <w:autoSpaceDN/>
        <w:bidi w:val="0"/>
        <w:spacing w:before="240" w:after="120" w:line="540" w:lineRule="exact"/>
        <w:ind w:firstLine="643"/>
        <w:outlineLvl w:val="0"/>
        <w:rPr>
          <w:rFonts w:cs="仿宋"/>
          <w:b/>
          <w:bCs/>
          <w:szCs w:val="32"/>
        </w:rPr>
      </w:pPr>
      <w:r>
        <w:rPr>
          <w:rFonts w:hint="eastAsia" w:cs="仿宋"/>
          <w:b/>
          <w:bCs/>
          <w:szCs w:val="32"/>
        </w:rPr>
        <w:t>七、还款保障情况</w:t>
      </w:r>
    </w:p>
    <w:p w14:paraId="6C8897BF">
      <w:pPr>
        <w:pageBreakBefore w:val="0"/>
        <w:kinsoku/>
        <w:wordWrap/>
        <w:overflowPunct/>
        <w:topLinePunct w:val="0"/>
        <w:autoSpaceDE/>
        <w:autoSpaceDN/>
        <w:bidi w:val="0"/>
        <w:spacing w:line="540" w:lineRule="exact"/>
        <w:ind w:firstLine="560"/>
        <w:rPr>
          <w:rFonts w:cs="仿宋"/>
          <w:sz w:val="28"/>
          <w:szCs w:val="28"/>
        </w:rPr>
      </w:pPr>
      <w:r>
        <w:rPr>
          <w:rFonts w:cs="仿宋"/>
          <w:sz w:val="28"/>
          <w:szCs w:val="28"/>
        </w:rPr>
        <w:t>根据《中共中央办公厅、国务院办公厅关于做好地方政府专项债券发行及项目配套融资工作的通知》（厅字〔2019〕33号），组合使用专项债券和市场化融资的项目，项目收入实行分账管理。项目对应的政府性基金收入和用于偿还专项债券的专项收入及时足额缴入国库，纳入政府性基金预算管理，确保专项债券还本付息资金安全；项目单位依法对市场化融资承担全部偿还责任，在银行开立监管账户，将市场化融资资金以及项目对应可用于偿还市场化融资的专项收入，及时足额归集至监管账户，保障市场化融资到期偿付。若市场化融资偿还出现困难，项目业主应通过公司经营收入、处置公司资产等方式筹集资金偿还债务。</w:t>
      </w:r>
    </w:p>
    <w:p w14:paraId="644A6CEA">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项目业主依法对市场化融资承担全部偿还责任，在银行开立监管账户，将市场化融资资金以及项目对应可用于偿还市场化融资的专项收入，及时足额归集至监管账户，保障市场化融资到期偿付。如市场化融资偿债出现困难，可将市场化融资对应的资产权益进行保证担保、抵押担保或质押担保，以作为本项目的第二还款来源。</w:t>
      </w:r>
    </w:p>
    <w:p w14:paraId="2F230D9E">
      <w:pPr>
        <w:pageBreakBefore w:val="0"/>
        <w:kinsoku/>
        <w:wordWrap/>
        <w:overflowPunct/>
        <w:topLinePunct w:val="0"/>
        <w:autoSpaceDE/>
        <w:autoSpaceDN/>
        <w:bidi w:val="0"/>
        <w:spacing w:before="240" w:after="120" w:line="540" w:lineRule="exact"/>
        <w:ind w:firstLine="643"/>
        <w:outlineLvl w:val="0"/>
        <w:rPr>
          <w:rFonts w:cs="仿宋"/>
          <w:b/>
          <w:bCs/>
          <w:szCs w:val="32"/>
        </w:rPr>
      </w:pPr>
      <w:r>
        <w:rPr>
          <w:rFonts w:hint="eastAsia" w:cs="仿宋"/>
          <w:b/>
          <w:bCs/>
          <w:szCs w:val="32"/>
        </w:rPr>
        <w:t>八、相关部门职责</w:t>
      </w:r>
    </w:p>
    <w:p w14:paraId="0AAE589B">
      <w:pPr>
        <w:pageBreakBefore w:val="0"/>
        <w:kinsoku/>
        <w:wordWrap/>
        <w:overflowPunct/>
        <w:topLinePunct w:val="0"/>
        <w:autoSpaceDE/>
        <w:autoSpaceDN/>
        <w:bidi w:val="0"/>
        <w:spacing w:line="540" w:lineRule="exact"/>
        <w:ind w:firstLine="643"/>
        <w:rPr>
          <w:rFonts w:cs="仿宋"/>
          <w:b/>
          <w:bCs/>
        </w:rPr>
      </w:pPr>
      <w:r>
        <w:rPr>
          <w:rFonts w:hint="eastAsia" w:cs="仿宋"/>
          <w:b/>
          <w:bCs/>
        </w:rPr>
        <w:t>1.主管部门职责</w:t>
      </w:r>
    </w:p>
    <w:p w14:paraId="69CE0BFE">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本项目主管部门为</w:t>
      </w:r>
      <w:r>
        <w:rPr>
          <w:rFonts w:hint="eastAsia" w:ascii="宋体" w:hAnsi="宋体" w:cs="宋体"/>
          <w:bCs/>
          <w:sz w:val="28"/>
          <w:szCs w:val="28"/>
        </w:rPr>
        <w:t>绵阳科技城新型工业化和数字经济局</w:t>
      </w:r>
      <w:r>
        <w:rPr>
          <w:rFonts w:hint="eastAsia" w:cs="仿宋"/>
          <w:sz w:val="28"/>
          <w:szCs w:val="28"/>
        </w:rPr>
        <w:t>，职责为负责对本部门专项债券项目审核把关。指导本行业项目规划与储备、梳理项目需求和编制项目实施方案。指导本行业及时规范使用债券资金，对建设运营情况进行监督，并统筹协调相关部门保障项目建设进度，如期实现项目收入。主管部门协同财政部门将项目收益专项债券对应项目形成的资产纳入国有资产管理，加强资产日常统计和动态监控。</w:t>
      </w:r>
    </w:p>
    <w:p w14:paraId="6AA1CC70">
      <w:pPr>
        <w:pageBreakBefore w:val="0"/>
        <w:kinsoku/>
        <w:wordWrap/>
        <w:overflowPunct/>
        <w:topLinePunct w:val="0"/>
        <w:autoSpaceDE/>
        <w:autoSpaceDN/>
        <w:bidi w:val="0"/>
        <w:spacing w:line="540" w:lineRule="exact"/>
        <w:ind w:firstLine="643"/>
        <w:rPr>
          <w:rFonts w:cs="仿宋"/>
          <w:b/>
          <w:bCs/>
        </w:rPr>
      </w:pPr>
      <w:r>
        <w:rPr>
          <w:rFonts w:hint="eastAsia" w:cs="仿宋"/>
          <w:b/>
          <w:bCs/>
        </w:rPr>
        <w:t>2、项目单位职责</w:t>
      </w:r>
    </w:p>
    <w:p w14:paraId="3DEC0F53">
      <w:pPr>
        <w:pageBreakBefore w:val="0"/>
        <w:kinsoku/>
        <w:wordWrap/>
        <w:overflowPunct/>
        <w:topLinePunct w:val="0"/>
        <w:autoSpaceDE/>
        <w:autoSpaceDN/>
        <w:bidi w:val="0"/>
        <w:spacing w:line="540" w:lineRule="exact"/>
        <w:ind w:firstLine="560"/>
        <w:rPr>
          <w:rFonts w:cs="仿宋"/>
          <w:sz w:val="28"/>
          <w:szCs w:val="28"/>
        </w:rPr>
      </w:pPr>
      <w:r>
        <w:rPr>
          <w:rFonts w:hint="eastAsia" w:cs="仿宋"/>
          <w:sz w:val="28"/>
          <w:szCs w:val="28"/>
        </w:rPr>
        <w:t>本项目的项目单位为</w:t>
      </w:r>
      <w:r>
        <w:rPr>
          <w:rFonts w:hint="eastAsia" w:ascii="宋体" w:hAnsi="宋体" w:cs="宋体"/>
          <w:sz w:val="28"/>
          <w:szCs w:val="28"/>
        </w:rPr>
        <w:t>绵阳高新发展投资控股有限公司</w:t>
      </w:r>
      <w:r>
        <w:rPr>
          <w:rFonts w:hint="eastAsia" w:cs="仿宋"/>
          <w:sz w:val="28"/>
          <w:szCs w:val="28"/>
        </w:rPr>
        <w:t>，职责为负责提出本项目需求申请，编制报送项目实施方案及相关资料，配合做好债券发行准备。规范使用债券资金，及时形成支出，提高资金使用效益。定期评估项目成本、预期收益和对应资产价值等，发现风险或异常情况及时向主管部门报告。编制专项债券收支、偿还计划，将债券项目收入及时足额缴入国库。做好数据填报、信息公开等相关工作。项目单位对专项债券资金收入和支出、对应项目形成的收入和支出进行专账核算，准确反映资金的收支情况。项目单位应当单独开设账户，用于专项债券资金、项目资本金、项目收入、还本付息等资金监管。协同财政部门将项目收益专项债券对应项目形成的资产纳入国有资产管理，加强资产日常统计和动态监控。</w:t>
      </w:r>
    </w:p>
    <w:p w14:paraId="0297A498">
      <w:pPr>
        <w:pageBreakBefore w:val="0"/>
        <w:numPr>
          <w:ilvl w:val="0"/>
          <w:numId w:val="2"/>
        </w:numPr>
        <w:kinsoku/>
        <w:wordWrap/>
        <w:overflowPunct/>
        <w:topLinePunct w:val="0"/>
        <w:autoSpaceDE/>
        <w:autoSpaceDN/>
        <w:bidi w:val="0"/>
        <w:spacing w:before="240" w:after="120" w:line="540" w:lineRule="exact"/>
        <w:ind w:firstLine="643"/>
        <w:outlineLvl w:val="0"/>
        <w:rPr>
          <w:rFonts w:cs="仿宋"/>
          <w:b/>
          <w:bCs/>
          <w:szCs w:val="32"/>
        </w:rPr>
      </w:pPr>
      <w:r>
        <w:rPr>
          <w:rFonts w:hint="eastAsia" w:cs="仿宋"/>
          <w:b/>
          <w:bCs/>
          <w:szCs w:val="32"/>
        </w:rPr>
        <w:t>补充说明</w:t>
      </w:r>
      <w:bookmarkStart w:id="123" w:name="_GoBack"/>
    </w:p>
    <w:bookmarkEnd w:id="123"/>
    <w:p w14:paraId="1477FBAB">
      <w:pPr>
        <w:pageBreakBefore w:val="0"/>
        <w:kinsoku/>
        <w:wordWrap/>
        <w:overflowPunct/>
        <w:topLinePunct w:val="0"/>
        <w:autoSpaceDE/>
        <w:autoSpaceDN/>
        <w:bidi w:val="0"/>
        <w:spacing w:line="540" w:lineRule="exact"/>
        <w:ind w:firstLine="560"/>
        <w:rPr>
          <w:rFonts w:cs="仿宋"/>
        </w:rPr>
      </w:pPr>
      <w:r>
        <w:rPr>
          <w:rFonts w:hint="eastAsia" w:cs="仿宋"/>
          <w:sz w:val="28"/>
          <w:szCs w:val="28"/>
        </w:rPr>
        <w:t>此项目债券资金总需求</w:t>
      </w:r>
      <w:r>
        <w:rPr>
          <w:rFonts w:hint="eastAsia" w:ascii="宋体" w:hAnsi="宋体" w:eastAsia="宋体" w:cs="宋体"/>
          <w:sz w:val="28"/>
          <w:szCs w:val="28"/>
        </w:rPr>
        <w:t>27,000.00</w:t>
      </w:r>
      <w:r>
        <w:rPr>
          <w:rFonts w:hint="eastAsia" w:cs="仿宋"/>
          <w:sz w:val="28"/>
          <w:szCs w:val="28"/>
        </w:rPr>
        <w:t>万元，根据地方政府债务限额管理要求和项目实施进展情况。本次拟发行</w:t>
      </w:r>
      <w:r>
        <w:rPr>
          <w:rFonts w:hint="eastAsia" w:ascii="宋体" w:hAnsi="宋体" w:eastAsia="宋体" w:cs="宋体"/>
          <w:sz w:val="28"/>
          <w:szCs w:val="28"/>
          <w:highlight w:val="none"/>
          <w:lang w:val="en-US" w:eastAsia="zh-CN"/>
        </w:rPr>
        <w:t>13500</w:t>
      </w:r>
      <w:r>
        <w:rPr>
          <w:rFonts w:hint="eastAsia" w:cs="仿宋"/>
          <w:sz w:val="28"/>
          <w:szCs w:val="28"/>
          <w:highlight w:val="none"/>
        </w:rPr>
        <w:t>万</w:t>
      </w:r>
      <w:r>
        <w:rPr>
          <w:rFonts w:hint="eastAsia" w:cs="仿宋"/>
          <w:sz w:val="28"/>
          <w:szCs w:val="28"/>
        </w:rPr>
        <w:t>元，期限</w:t>
      </w:r>
      <w:r>
        <w:rPr>
          <w:rFonts w:cs="仿宋"/>
          <w:sz w:val="28"/>
          <w:szCs w:val="28"/>
        </w:rPr>
        <w:t>20</w:t>
      </w:r>
      <w:r>
        <w:rPr>
          <w:rFonts w:hint="eastAsia" w:cs="仿宋"/>
          <w:sz w:val="28"/>
          <w:szCs w:val="28"/>
        </w:rPr>
        <w:t>年。该项目实施内容及收益来源未发生变动，在不超过项目债券总需求情况下，债券分批次跨年发行对项目整体融资平衡不构成实质影响</w:t>
      </w:r>
      <w:r>
        <w:rPr>
          <w:rFonts w:hint="eastAsia" w:cs="仿宋"/>
        </w:rPr>
        <w:t>。</w:t>
      </w:r>
    </w:p>
    <w:p w14:paraId="22D704AB">
      <w:pPr>
        <w:pageBreakBefore w:val="0"/>
        <w:kinsoku/>
        <w:wordWrap/>
        <w:overflowPunct/>
        <w:topLinePunct w:val="0"/>
        <w:autoSpaceDE/>
        <w:autoSpaceDN/>
        <w:bidi w:val="0"/>
        <w:spacing w:line="540" w:lineRule="exact"/>
        <w:ind w:firstLine="640"/>
        <w:rPr>
          <w:rFonts w:cs="仿宋"/>
        </w:rPr>
      </w:pPr>
    </w:p>
    <w:sectPr>
      <w:pgSz w:w="11906" w:h="16838"/>
      <w:pgMar w:top="2098" w:right="1418" w:bottom="1588" w:left="1644" w:header="851" w:footer="992" w:gutter="0"/>
      <w:pgNumType w:fmt="numberInDash"/>
      <w:cols w:space="720" w:num="1"/>
      <w:docGrid w:type="lines" w:linePitch="435" w:charSpace="0"/>
    </w:sectPr>
  </w:body>
</w:document>
</file>

<file path=word/customizations.xml><?xml version="1.0" encoding="utf-8"?>
<wne:tcg xmlns:r="http://schemas.openxmlformats.org/officeDocument/2006/relationships" xmlns:wne="http://schemas.microsoft.com/office/word/2006/wordml">
  <wne:keymaps>
    <wne:keymap wne:kcmPrimary="065A">
      <wne:acd wne:acdName="acd0"/>
    </wne:keymap>
  </wne:keymaps>
  <wne:acds>
    <wne:acd wne:argValue="AQAAAA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Neue">
    <w:altName w:val="微软雅黑"/>
    <w:panose1 w:val="00000000000000000000"/>
    <w:charset w:val="00"/>
    <w:family w:val="auto"/>
    <w:pitch w:val="default"/>
    <w:sig w:usb0="00000000" w:usb1="00000000" w:usb2="00000010" w:usb3="00000000" w:csb0="00000001"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PMingLiU">
    <w:altName w:val="Microsoft JhengHei"/>
    <w:panose1 w:val="02010601000101010101"/>
    <w:charset w:val="88"/>
    <w:family w:val="auto"/>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Arial Unicode MS">
    <w:altName w:val="宋体"/>
    <w:panose1 w:val="020B0604020202020204"/>
    <w:charset w:val="86"/>
    <w:family w:val="roman"/>
    <w:pitch w:val="default"/>
    <w:sig w:usb0="00000000" w:usb1="00000000" w:usb2="0000003F" w:usb3="00000000" w:csb0="603F01FF" w:csb1="FFFF0000"/>
  </w:font>
  <w:font w:name="宋体 (正文)">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B90FC">
    <w:pPr>
      <w:pStyle w:val="25"/>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F89DCB">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- 22 -</w:t>
                          </w:r>
                          <w:r>
                            <w:rPr>
                              <w:rFonts w:hint="eastAsia" w:ascii="宋体" w:hAnsi="宋体" w:eastAsia="宋体 (正文)" w:cs="Arial Unicode MS"/>
                              <w:color w:val="000000"/>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5AF89DCB">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- 22 -</w:t>
                    </w:r>
                    <w:r>
                      <w:rPr>
                        <w:rFonts w:hint="eastAsia" w:ascii="宋体" w:hAnsi="宋体" w:eastAsia="宋体 (正文)" w:cs="Arial Unicode MS"/>
                        <w:color w:val="000000"/>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2259A">
    <w:pPr>
      <w:pStyle w:val="1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8EB69">
    <w:pPr>
      <w:pStyle w:val="1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BFC14">
    <w:pPr>
      <w:pStyle w:val="26"/>
      <w:tabs>
        <w:tab w:val="right" w:pos="9000"/>
        <w:tab w:val="clear" w:pos="9020"/>
      </w:tabs>
    </w:pPr>
    <w:r>
      <mc:AlternateContent>
        <mc:Choice Requires="wps">
          <w:drawing>
            <wp:anchor distT="0" distB="0" distL="114300" distR="114300" simplePos="0" relativeHeight="251659264" behindDoc="1" locked="0" layoutInCell="1" allowOverlap="1">
              <wp:simplePos x="0" y="0"/>
              <wp:positionH relativeFrom="page">
                <wp:posOffset>3722370</wp:posOffset>
              </wp:positionH>
              <wp:positionV relativeFrom="page">
                <wp:posOffset>9833610</wp:posOffset>
              </wp:positionV>
              <wp:extent cx="114935" cy="131445"/>
              <wp:effectExtent l="0" t="0" r="0" b="0"/>
              <wp:wrapNone/>
              <wp:docPr id="1073741827" name="文本框 1073741827" descr="officeArt object"/>
              <wp:cNvGraphicFramePr/>
              <a:graphic xmlns:a="http://schemas.openxmlformats.org/drawingml/2006/main">
                <a:graphicData uri="http://schemas.microsoft.com/office/word/2010/wordprocessingShape">
                  <wps:wsp>
                    <wps:cNvSpPr txBox="1"/>
                    <wps:spPr>
                      <a:xfrm>
                        <a:off x="0" y="0"/>
                        <a:ext cx="114936" cy="131446"/>
                      </a:xfrm>
                      <a:prstGeom prst="rect">
                        <a:avLst/>
                      </a:prstGeom>
                      <a:noFill/>
                      <a:ln w="12700" cap="flat">
                        <a:noFill/>
                        <a:miter lim="400000"/>
                      </a:ln>
                      <a:effectLst/>
                    </wps:spPr>
                    <wps:txbx>
                      <w:txbxContent>
                        <w:p w14:paraId="3525C116">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- 22 -</w:t>
                          </w:r>
                          <w:r>
                            <w:rPr>
                              <w:rFonts w:hint="eastAsia" w:ascii="宋体" w:hAnsi="宋体" w:eastAsia="Times New Roman" w:cs="Arial Unicode MS"/>
                              <w:color w:val="000000"/>
                              <w:sz w:val="18"/>
                              <w:szCs w:val="18"/>
                            </w:rPr>
                            <w:fldChar w:fldCharType="end"/>
                          </w:r>
                        </w:p>
                      </w:txbxContent>
                    </wps:txbx>
                    <wps:bodyPr wrap="square" lIns="0" tIns="0" rIns="0" bIns="0" numCol="1" anchor="t">
                      <a:noAutofit/>
                    </wps:bodyPr>
                  </wps:wsp>
                </a:graphicData>
              </a:graphic>
            </wp:anchor>
          </w:drawing>
        </mc:Choice>
        <mc:Fallback>
          <w:pict>
            <v:shape id="_x0000_s1026" o:spid="_x0000_s1026" o:spt="202" alt="officeArt object" type="#_x0000_t202" style="position:absolute;left:0pt;margin-left:293.1pt;margin-top:774.3pt;height:10.35pt;width:9.05pt;mso-position-horizontal-relative:page;mso-position-vertical-relative:page;z-index:-251657216;mso-width-relative:page;mso-height-relative:page;" filled="f" stroked="f" coordsize="21600,21600" o:gfxdata="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YKnjNoAAAANAQAADwAAAAAAAAABACAA&#10;AAAiAAAAZHJzL2Rvd25yZXYueG1sUEsBAhQAFAAAAAgAh07iQOenbXULAgAACAQAAA4AAAAAAAAA&#10;AQAgAAAAKQEAAGRycy9lMm9Eb2MueG1sUEsFBgAAAAAGAAYAWQEAAKYFAAAAAA==&#10;">
              <v:fill on="f" focussize="0,0"/>
              <v:stroke on="f" weight="1pt" miterlimit="4" joinstyle="miter"/>
              <v:imagedata o:title=""/>
              <o:lock v:ext="edit" aspectratio="f"/>
              <v:textbox inset="0mm,0mm,0mm,0mm">
                <w:txbxContent>
                  <w:p w14:paraId="3525C116">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- 22 -</w:t>
                    </w:r>
                    <w:r>
                      <w:rPr>
                        <w:rFonts w:hint="eastAsia" w:ascii="宋体" w:hAnsi="宋体" w:eastAsia="Times New Roman" w:cs="Arial Unicode MS"/>
                        <w:color w:val="000000"/>
                        <w:sz w:val="18"/>
                        <w:szCs w:val="18"/>
                      </w:rPr>
                      <w:fldChar w:fldCharType="end"/>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8B440">
    <w:pPr>
      <w:pStyle w:val="1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78DE2">
    <w:pPr>
      <w:pStyle w:val="1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9"/>
      <w:numFmt w:val="chineseCounting"/>
      <w:suff w:val="nothing"/>
      <w:lvlText w:val="%1、"/>
      <w:lvlJc w:val="left"/>
    </w:lvl>
  </w:abstractNum>
  <w:abstractNum w:abstractNumId="1">
    <w:nsid w:val="5D7DD30D"/>
    <w:multiLevelType w:val="multilevel"/>
    <w:tmpl w:val="5D7DD30D"/>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pStyle w:val="6"/>
      <w:suff w:val="nothing"/>
      <w:lvlText w:val="（%4）"/>
      <w:lvlJc w:val="left"/>
      <w:pPr>
        <w:ind w:left="0" w:firstLine="402"/>
      </w:pPr>
      <w:rPr>
        <w:rFonts w:hint="eastAsia"/>
      </w:rPr>
    </w:lvl>
    <w:lvl w:ilvl="4" w:tentative="0">
      <w:start w:val="1"/>
      <w:numFmt w:val="decimalEnclosedCircleChinese"/>
      <w:pStyle w:val="7"/>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1ZDZhZTM2NjZjMjhlMGQ3ODBlZTllODA2YzU1OGIifQ=="/>
  </w:docVars>
  <w:rsids>
    <w:rsidRoot w:val="00172A27"/>
    <w:rsid w:val="00054C26"/>
    <w:rsid w:val="000D34BB"/>
    <w:rsid w:val="000E3667"/>
    <w:rsid w:val="00172A27"/>
    <w:rsid w:val="002F16E9"/>
    <w:rsid w:val="00507E2B"/>
    <w:rsid w:val="00647230"/>
    <w:rsid w:val="00790D89"/>
    <w:rsid w:val="0088281B"/>
    <w:rsid w:val="008B7CF0"/>
    <w:rsid w:val="009040CA"/>
    <w:rsid w:val="009304B3"/>
    <w:rsid w:val="009C1B27"/>
    <w:rsid w:val="00AA773B"/>
    <w:rsid w:val="00D923D0"/>
    <w:rsid w:val="00EB06A2"/>
    <w:rsid w:val="00EB2993"/>
    <w:rsid w:val="00F44D7B"/>
    <w:rsid w:val="013C30B7"/>
    <w:rsid w:val="03DA4097"/>
    <w:rsid w:val="04500383"/>
    <w:rsid w:val="06766115"/>
    <w:rsid w:val="076569CD"/>
    <w:rsid w:val="08122664"/>
    <w:rsid w:val="08B070E4"/>
    <w:rsid w:val="092A5646"/>
    <w:rsid w:val="09693B96"/>
    <w:rsid w:val="09A3577C"/>
    <w:rsid w:val="0A17403E"/>
    <w:rsid w:val="0B032BA3"/>
    <w:rsid w:val="0B041AC8"/>
    <w:rsid w:val="0BD274A5"/>
    <w:rsid w:val="0BE31495"/>
    <w:rsid w:val="0E0042AD"/>
    <w:rsid w:val="0E664872"/>
    <w:rsid w:val="0EEC63DE"/>
    <w:rsid w:val="103F6009"/>
    <w:rsid w:val="118738E3"/>
    <w:rsid w:val="11B1585E"/>
    <w:rsid w:val="11D03B9B"/>
    <w:rsid w:val="13712EB0"/>
    <w:rsid w:val="13B36581"/>
    <w:rsid w:val="13BB3B3D"/>
    <w:rsid w:val="13EF32B1"/>
    <w:rsid w:val="15B6242D"/>
    <w:rsid w:val="176C2BB7"/>
    <w:rsid w:val="1915445F"/>
    <w:rsid w:val="1A5438C9"/>
    <w:rsid w:val="1DD443CA"/>
    <w:rsid w:val="1DEF2178"/>
    <w:rsid w:val="1FDB7DB2"/>
    <w:rsid w:val="22FF7A35"/>
    <w:rsid w:val="242C2DF9"/>
    <w:rsid w:val="25012038"/>
    <w:rsid w:val="25BA38DC"/>
    <w:rsid w:val="25E75E13"/>
    <w:rsid w:val="26081591"/>
    <w:rsid w:val="2625355A"/>
    <w:rsid w:val="26F55BF7"/>
    <w:rsid w:val="287076C4"/>
    <w:rsid w:val="293F224C"/>
    <w:rsid w:val="29885326"/>
    <w:rsid w:val="29BD454B"/>
    <w:rsid w:val="2BF15CE4"/>
    <w:rsid w:val="2D2836D6"/>
    <w:rsid w:val="309E3D25"/>
    <w:rsid w:val="30DB4718"/>
    <w:rsid w:val="3144344A"/>
    <w:rsid w:val="32CE6DA3"/>
    <w:rsid w:val="32F862B4"/>
    <w:rsid w:val="339D76E7"/>
    <w:rsid w:val="34655677"/>
    <w:rsid w:val="357238F7"/>
    <w:rsid w:val="362D01AF"/>
    <w:rsid w:val="381A1632"/>
    <w:rsid w:val="38C22508"/>
    <w:rsid w:val="393D1514"/>
    <w:rsid w:val="39D72345"/>
    <w:rsid w:val="3A0C2CBB"/>
    <w:rsid w:val="3A2105C2"/>
    <w:rsid w:val="3AB07FCD"/>
    <w:rsid w:val="3BA369C0"/>
    <w:rsid w:val="3C3C57EA"/>
    <w:rsid w:val="3C8F3AAB"/>
    <w:rsid w:val="3D7B1B13"/>
    <w:rsid w:val="3D9B595E"/>
    <w:rsid w:val="3FE41F12"/>
    <w:rsid w:val="430D1C8A"/>
    <w:rsid w:val="43980DB3"/>
    <w:rsid w:val="442A1DA6"/>
    <w:rsid w:val="44AF6B13"/>
    <w:rsid w:val="464C48A9"/>
    <w:rsid w:val="47653A42"/>
    <w:rsid w:val="47C6684B"/>
    <w:rsid w:val="48A05F07"/>
    <w:rsid w:val="48C3324F"/>
    <w:rsid w:val="49E51B21"/>
    <w:rsid w:val="4A994EE3"/>
    <w:rsid w:val="4B94424A"/>
    <w:rsid w:val="4BB501E6"/>
    <w:rsid w:val="4BB7159E"/>
    <w:rsid w:val="4C0E74D6"/>
    <w:rsid w:val="4C1662EE"/>
    <w:rsid w:val="4DEE1375"/>
    <w:rsid w:val="4F3A188D"/>
    <w:rsid w:val="4FAE3E40"/>
    <w:rsid w:val="4FE3537B"/>
    <w:rsid w:val="510475F3"/>
    <w:rsid w:val="51714D0B"/>
    <w:rsid w:val="51AB250E"/>
    <w:rsid w:val="52AA0445"/>
    <w:rsid w:val="55E0298F"/>
    <w:rsid w:val="55E2376A"/>
    <w:rsid w:val="55F16B82"/>
    <w:rsid w:val="564156CE"/>
    <w:rsid w:val="577446E9"/>
    <w:rsid w:val="57B94B8F"/>
    <w:rsid w:val="57E32249"/>
    <w:rsid w:val="58414118"/>
    <w:rsid w:val="5AC52BAD"/>
    <w:rsid w:val="5AD54B55"/>
    <w:rsid w:val="5CD207B0"/>
    <w:rsid w:val="5D941A1D"/>
    <w:rsid w:val="5EC7324C"/>
    <w:rsid w:val="5F033932"/>
    <w:rsid w:val="600A4D82"/>
    <w:rsid w:val="61271BBA"/>
    <w:rsid w:val="629C2BE7"/>
    <w:rsid w:val="63A233B4"/>
    <w:rsid w:val="63C601F3"/>
    <w:rsid w:val="63CC759F"/>
    <w:rsid w:val="642702D6"/>
    <w:rsid w:val="64DD2A65"/>
    <w:rsid w:val="66060C05"/>
    <w:rsid w:val="665F3E6D"/>
    <w:rsid w:val="66F4651A"/>
    <w:rsid w:val="66FD0891"/>
    <w:rsid w:val="67DD3F80"/>
    <w:rsid w:val="68180706"/>
    <w:rsid w:val="683E54BC"/>
    <w:rsid w:val="69790F79"/>
    <w:rsid w:val="6A26501D"/>
    <w:rsid w:val="6A7E6E7B"/>
    <w:rsid w:val="6ACF36CA"/>
    <w:rsid w:val="6BB30CF6"/>
    <w:rsid w:val="6C382AE1"/>
    <w:rsid w:val="6C8A1C80"/>
    <w:rsid w:val="6DDE2AF6"/>
    <w:rsid w:val="6E1813C4"/>
    <w:rsid w:val="6E55356F"/>
    <w:rsid w:val="6E8338F6"/>
    <w:rsid w:val="6F314AB7"/>
    <w:rsid w:val="70265F46"/>
    <w:rsid w:val="703640B3"/>
    <w:rsid w:val="7051605B"/>
    <w:rsid w:val="7088025C"/>
    <w:rsid w:val="730F6553"/>
    <w:rsid w:val="7406244E"/>
    <w:rsid w:val="75110D85"/>
    <w:rsid w:val="763804AD"/>
    <w:rsid w:val="77031528"/>
    <w:rsid w:val="77E94330"/>
    <w:rsid w:val="7831551C"/>
    <w:rsid w:val="794E06BE"/>
    <w:rsid w:val="79EF0252"/>
    <w:rsid w:val="7B111800"/>
    <w:rsid w:val="7B982BE8"/>
    <w:rsid w:val="7BBE38CE"/>
    <w:rsid w:val="7CFF4D43"/>
    <w:rsid w:val="7D381B0F"/>
    <w:rsid w:val="7E2D1FB9"/>
    <w:rsid w:val="7E5F6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仿宋" w:hAnsi="仿宋" w:eastAsia="仿宋" w:cstheme="minorBidi"/>
      <w:kern w:val="2"/>
      <w:sz w:val="32"/>
      <w:szCs w:val="22"/>
      <w:lang w:val="en-US" w:eastAsia="zh-CN" w:bidi="ar-SA"/>
    </w:rPr>
  </w:style>
  <w:style w:type="paragraph" w:styleId="3">
    <w:name w:val="heading 1"/>
    <w:basedOn w:val="1"/>
    <w:next w:val="1"/>
    <w:link w:val="24"/>
    <w:qFormat/>
    <w:uiPriority w:val="0"/>
    <w:pPr>
      <w:spacing w:before="100" w:beforeLines="100" w:line="480" w:lineRule="auto"/>
      <w:ind w:firstLine="0" w:firstLineChars="0"/>
      <w:outlineLvl w:val="0"/>
    </w:pPr>
    <w:rPr>
      <w:rFonts w:eastAsia="宋体"/>
      <w:b/>
      <w:bCs/>
      <w:sz w:val="40"/>
      <w:szCs w:val="32"/>
    </w:rPr>
  </w:style>
  <w:style w:type="paragraph" w:styleId="4">
    <w:name w:val="heading 2"/>
    <w:basedOn w:val="1"/>
    <w:next w:val="1"/>
    <w:link w:val="22"/>
    <w:unhideWhenUsed/>
    <w:qFormat/>
    <w:uiPriority w:val="0"/>
    <w:pPr>
      <w:adjustRightInd w:val="0"/>
      <w:snapToGrid w:val="0"/>
      <w:spacing w:before="88" w:beforeLines="88" w:after="88" w:afterLines="88"/>
      <w:ind w:firstLine="0" w:firstLineChars="0"/>
      <w:outlineLvl w:val="1"/>
    </w:pPr>
    <w:rPr>
      <w:rFonts w:eastAsia="宋体" w:cs="Times New Roman" w:asciiTheme="minorHAnsi" w:hAnsiTheme="minorHAnsi"/>
      <w:b/>
      <w:sz w:val="36"/>
      <w:szCs w:val="20"/>
      <w:lang w:val="en-GB"/>
    </w:rPr>
  </w:style>
  <w:style w:type="paragraph" w:styleId="5">
    <w:name w:val="heading 3"/>
    <w:basedOn w:val="1"/>
    <w:next w:val="1"/>
    <w:link w:val="23"/>
    <w:unhideWhenUsed/>
    <w:qFormat/>
    <w:uiPriority w:val="0"/>
    <w:pPr>
      <w:keepNext/>
      <w:keepLines/>
      <w:tabs>
        <w:tab w:val="left" w:pos="0"/>
      </w:tabs>
      <w:spacing w:before="50" w:after="50"/>
      <w:outlineLvl w:val="2"/>
    </w:pPr>
    <w:rPr>
      <w:rFonts w:ascii="宋体" w:hAnsi="宋体" w:eastAsia="宋体" w:cs="Times New Roman"/>
      <w:b/>
      <w:szCs w:val="32"/>
    </w:rPr>
  </w:style>
  <w:style w:type="paragraph" w:styleId="6">
    <w:name w:val="heading 4"/>
    <w:basedOn w:val="1"/>
    <w:next w:val="1"/>
    <w:unhideWhenUsed/>
    <w:qFormat/>
    <w:uiPriority w:val="0"/>
    <w:pPr>
      <w:keepNext/>
      <w:keepLines/>
      <w:numPr>
        <w:ilvl w:val="3"/>
        <w:numId w:val="1"/>
      </w:numPr>
      <w:spacing w:before="280" w:after="290" w:line="372" w:lineRule="auto"/>
      <w:ind w:firstLineChars="0"/>
      <w:outlineLvl w:val="3"/>
    </w:pPr>
    <w:rPr>
      <w:rFonts w:ascii="Arial" w:hAnsi="Arial" w:eastAsia="黑体"/>
      <w:b/>
      <w:sz w:val="28"/>
    </w:rPr>
  </w:style>
  <w:style w:type="paragraph" w:styleId="7">
    <w:name w:val="heading 5"/>
    <w:basedOn w:val="1"/>
    <w:next w:val="1"/>
    <w:unhideWhenUsed/>
    <w:qFormat/>
    <w:uiPriority w:val="0"/>
    <w:pPr>
      <w:keepNext/>
      <w:keepLines/>
      <w:numPr>
        <w:ilvl w:val="4"/>
        <w:numId w:val="1"/>
      </w:numPr>
      <w:spacing w:before="280" w:after="290" w:line="372" w:lineRule="auto"/>
      <w:ind w:firstLineChars="0"/>
      <w:outlineLvl w:val="4"/>
    </w:pPr>
    <w:rPr>
      <w:b/>
      <w:sz w:val="28"/>
    </w:rPr>
  </w:style>
  <w:style w:type="paragraph" w:styleId="8">
    <w:name w:val="heading 6"/>
    <w:basedOn w:val="1"/>
    <w:next w:val="1"/>
    <w:unhideWhenUsed/>
    <w:qFormat/>
    <w:uiPriority w:val="0"/>
    <w:pPr>
      <w:keepNext/>
      <w:keepLines/>
      <w:numPr>
        <w:ilvl w:val="5"/>
        <w:numId w:val="1"/>
      </w:numPr>
      <w:spacing w:before="240" w:after="64" w:line="317" w:lineRule="auto"/>
      <w:ind w:firstLineChars="0"/>
      <w:outlineLvl w:val="5"/>
    </w:pPr>
    <w:rPr>
      <w:rFonts w:ascii="Arial" w:hAnsi="Arial" w:eastAsia="黑体"/>
      <w:b/>
      <w:sz w:val="24"/>
    </w:rPr>
  </w:style>
  <w:style w:type="paragraph" w:styleId="9">
    <w:name w:val="heading 7"/>
    <w:basedOn w:val="1"/>
    <w:next w:val="1"/>
    <w:unhideWhenUsed/>
    <w:qFormat/>
    <w:uiPriority w:val="0"/>
    <w:pPr>
      <w:keepNext/>
      <w:keepLines/>
      <w:numPr>
        <w:ilvl w:val="6"/>
        <w:numId w:val="1"/>
      </w:numPr>
      <w:spacing w:before="240" w:after="64" w:line="317" w:lineRule="auto"/>
      <w:ind w:firstLineChars="0"/>
      <w:outlineLvl w:val="6"/>
    </w:pPr>
    <w:rPr>
      <w:b/>
      <w:sz w:val="24"/>
    </w:rPr>
  </w:style>
  <w:style w:type="paragraph" w:styleId="10">
    <w:name w:val="heading 8"/>
    <w:basedOn w:val="1"/>
    <w:next w:val="1"/>
    <w:unhideWhenUsed/>
    <w:qFormat/>
    <w:uiPriority w:val="0"/>
    <w:pPr>
      <w:keepNext/>
      <w:keepLines/>
      <w:numPr>
        <w:ilvl w:val="7"/>
        <w:numId w:val="1"/>
      </w:numPr>
      <w:spacing w:before="240" w:after="64" w:line="317" w:lineRule="auto"/>
      <w:ind w:firstLineChars="0"/>
      <w:outlineLvl w:val="7"/>
    </w:pPr>
    <w:rPr>
      <w:rFonts w:ascii="Arial" w:hAnsi="Arial" w:eastAsia="黑体"/>
      <w:sz w:val="24"/>
    </w:rPr>
  </w:style>
  <w:style w:type="paragraph" w:styleId="11">
    <w:name w:val="heading 9"/>
    <w:basedOn w:val="1"/>
    <w:next w:val="1"/>
    <w:unhideWhenUsed/>
    <w:qFormat/>
    <w:uiPriority w:val="0"/>
    <w:pPr>
      <w:keepNext/>
      <w:keepLines/>
      <w:numPr>
        <w:ilvl w:val="8"/>
        <w:numId w:val="1"/>
      </w:numPr>
      <w:spacing w:before="240" w:after="64" w:line="317" w:lineRule="auto"/>
      <w:ind w:firstLineChars="0"/>
      <w:outlineLvl w:val="8"/>
    </w:pPr>
    <w:rPr>
      <w:rFonts w:ascii="Arial" w:hAnsi="Arial" w:eastAsia="黑体"/>
      <w:sz w:val="21"/>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ind w:firstLine="567"/>
    </w:pPr>
    <w:rPr>
      <w:rFonts w:ascii="宋体" w:hAnsi="宋体" w:eastAsia="宋体"/>
      <w:color w:val="000000"/>
      <w:u w:color="000000"/>
    </w:rPr>
  </w:style>
  <w:style w:type="paragraph" w:styleId="12">
    <w:name w:val="annotation text"/>
    <w:basedOn w:val="1"/>
    <w:qFormat/>
    <w:uiPriority w:val="0"/>
    <w:pPr>
      <w:jc w:val="left"/>
    </w:pPr>
  </w:style>
  <w:style w:type="paragraph" w:styleId="13">
    <w:name w:val="Body Text Indent"/>
    <w:basedOn w:val="1"/>
    <w:qFormat/>
    <w:uiPriority w:val="0"/>
    <w:pPr>
      <w:spacing w:after="120"/>
      <w:ind w:left="420" w:leftChars="200"/>
    </w:pPr>
  </w:style>
  <w:style w:type="paragraph" w:styleId="14">
    <w:name w:val="footer"/>
    <w:qFormat/>
    <w:uiPriority w:val="0"/>
    <w:pPr>
      <w:widowControl w:val="0"/>
      <w:tabs>
        <w:tab w:val="center" w:pos="4153"/>
        <w:tab w:val="right" w:pos="8306"/>
      </w:tabs>
      <w:snapToGrid w:val="0"/>
      <w:spacing w:line="560" w:lineRule="exact"/>
      <w:ind w:firstLine="880" w:firstLineChars="200"/>
    </w:pPr>
    <w:rPr>
      <w:rFonts w:ascii="仿宋_GB2312" w:hAnsi="仿宋" w:eastAsia="仿宋_GB2312" w:cs="Times New Roman"/>
      <w:kern w:val="2"/>
      <w:sz w:val="18"/>
      <w:szCs w:val="18"/>
      <w:lang w:val="en-US" w:eastAsia="zh-CN" w:bidi="ar-SA"/>
    </w:rPr>
  </w:style>
  <w:style w:type="paragraph" w:styleId="15">
    <w:name w:val="header"/>
    <w:qFormat/>
    <w:uiPriority w:val="0"/>
    <w:pPr>
      <w:widowControl w:val="0"/>
      <w:tabs>
        <w:tab w:val="center" w:pos="4153"/>
        <w:tab w:val="right" w:pos="8306"/>
      </w:tabs>
      <w:snapToGrid w:val="0"/>
      <w:spacing w:line="620" w:lineRule="exact"/>
      <w:ind w:firstLine="200" w:firstLineChars="200"/>
      <w:jc w:val="center"/>
    </w:pPr>
    <w:rPr>
      <w:rFonts w:ascii="仿宋_GB2312" w:hAnsi="仿宋" w:eastAsia="仿宋_GB2312" w:cs="Times New Roman"/>
      <w:kern w:val="2"/>
      <w:sz w:val="18"/>
      <w:szCs w:val="18"/>
      <w:lang w:val="en-US" w:eastAsia="zh-CN" w:bidi="ar-SA"/>
    </w:rPr>
  </w:style>
  <w:style w:type="paragraph" w:styleId="16">
    <w:name w:val="toc 1"/>
    <w:basedOn w:val="1"/>
    <w:next w:val="1"/>
    <w:qFormat/>
    <w:uiPriority w:val="0"/>
    <w:pPr>
      <w:adjustRightInd w:val="0"/>
      <w:snapToGrid w:val="0"/>
      <w:spacing w:before="120" w:line="288" w:lineRule="auto"/>
      <w:ind w:left="113" w:firstLine="0" w:firstLineChars="0"/>
      <w:jc w:val="left"/>
    </w:pPr>
    <w:rPr>
      <w:rFonts w:ascii="Arial" w:hAnsi="Arial"/>
      <w:bCs/>
      <w:iCs/>
      <w:sz w:val="28"/>
    </w:rPr>
  </w:style>
  <w:style w:type="paragraph" w:styleId="17">
    <w:name w:val="Body Text First Indent 2"/>
    <w:basedOn w:val="13"/>
    <w:next w:val="1"/>
    <w:qFormat/>
    <w:uiPriority w:val="0"/>
    <w:pPr>
      <w:ind w:firstLine="42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
    <w:name w:val="正文2"/>
    <w:basedOn w:val="1"/>
    <w:next w:val="1"/>
    <w:qFormat/>
    <w:uiPriority w:val="0"/>
  </w:style>
  <w:style w:type="character" w:customStyle="1" w:styleId="22">
    <w:name w:val="标题 2 字符"/>
    <w:link w:val="4"/>
    <w:qFormat/>
    <w:uiPriority w:val="9"/>
    <w:rPr>
      <w:rFonts w:eastAsia="宋体" w:cs="Times New Roman" w:asciiTheme="minorHAnsi" w:hAnsiTheme="minorHAnsi"/>
      <w:b/>
      <w:sz w:val="36"/>
      <w:szCs w:val="20"/>
      <w:lang w:val="en-GB"/>
    </w:rPr>
  </w:style>
  <w:style w:type="character" w:customStyle="1" w:styleId="23">
    <w:name w:val="标题 3 字符"/>
    <w:link w:val="5"/>
    <w:qFormat/>
    <w:uiPriority w:val="9"/>
    <w:rPr>
      <w:rFonts w:ascii="宋体" w:hAnsi="宋体" w:eastAsia="宋体" w:cs="Times New Roman"/>
      <w:b/>
      <w:szCs w:val="32"/>
    </w:rPr>
  </w:style>
  <w:style w:type="character" w:customStyle="1" w:styleId="24">
    <w:name w:val="标题 1 字符"/>
    <w:link w:val="3"/>
    <w:qFormat/>
    <w:uiPriority w:val="9"/>
    <w:rPr>
      <w:rFonts w:ascii="仿宋" w:hAnsi="仿宋" w:eastAsia="宋体" w:cs="仿宋"/>
      <w:b/>
      <w:bCs/>
      <w:kern w:val="44"/>
      <w:sz w:val="40"/>
      <w:szCs w:val="44"/>
      <w:lang w:val="zh-CN" w:bidi="zh-CN"/>
    </w:rPr>
  </w:style>
  <w:style w:type="paragraph" w:customStyle="1" w:styleId="25">
    <w:name w:val="页眉与页脚"/>
    <w:qFormat/>
    <w:uiPriority w:val="0"/>
    <w:pPr>
      <w:tabs>
        <w:tab w:val="right" w:pos="9020"/>
      </w:tabs>
    </w:pPr>
    <w:rPr>
      <w:rFonts w:ascii="Helvetica Neue" w:hAnsi="Helvetica Neue" w:eastAsia="Helvetica Neue" w:cs="Helvetica Neue"/>
      <w:color w:val="000000"/>
      <w:sz w:val="24"/>
      <w:szCs w:val="24"/>
      <w:lang w:val="en-US" w:eastAsia="zh-CN" w:bidi="ar-SA"/>
    </w:rPr>
  </w:style>
  <w:style w:type="paragraph" w:customStyle="1" w:styleId="26">
    <w:name w:val="页眉与页脚 B"/>
    <w:qFormat/>
    <w:uiPriority w:val="0"/>
    <w:pPr>
      <w:widowControl w:val="0"/>
      <w:tabs>
        <w:tab w:val="right" w:pos="9020"/>
      </w:tabs>
      <w:jc w:val="both"/>
    </w:pPr>
    <w:rPr>
      <w:rFonts w:ascii="Helvetica Neue" w:hAnsi="Helvetica Neue" w:eastAsia="Helvetica Neue" w:cs="Helvetica Neue"/>
      <w:color w:val="000000"/>
      <w:sz w:val="24"/>
      <w:szCs w:val="24"/>
      <w:lang w:val="en-US" w:eastAsia="zh-CN" w:bidi="ar-SA"/>
    </w:rPr>
  </w:style>
  <w:style w:type="paragraph" w:styleId="27">
    <w:name w:val="List Paragraph"/>
    <w:basedOn w:val="1"/>
    <w:qFormat/>
    <w:uiPriority w:val="99"/>
    <w:pPr>
      <w:ind w:firstLine="420"/>
    </w:pPr>
  </w:style>
  <w:style w:type="character" w:customStyle="1" w:styleId="28">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26</Pages>
  <Words>3234</Words>
  <Characters>4147</Characters>
  <Lines>101</Lines>
  <Paragraphs>28</Paragraphs>
  <TotalTime>0</TotalTime>
  <ScaleCrop>false</ScaleCrop>
  <LinksUpToDate>false</LinksUpToDate>
  <CharactersWithSpaces>4702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2019-12-06T07:59:00Z</dcterms:created>
  <dc:creator>对天爱</dc:creator>
  <cp:lastModifiedBy>KK</cp:lastModifiedBy>
  <cp:lastPrinted>2025-03-17T09:49:00Z</cp:lastPrinted>
  <dcterms:modified xsi:type="dcterms:W3CDTF">2025-07-10T09:57:29Z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4E6785386ECE4C34AE139C91824FB725</vt:lpwstr>
  </property>
  <property fmtid="{D5CDD505-2E9C-101B-9397-08002B2CF9AE}" pid="4" name="KSOTemplateDocerSaveRecord">
    <vt:lpwstr>eyJoZGlkIjoiNWRjMzhhMDYxYTQ2ZGJiMjA0ODAzNWQwNjIyMzg5OWIiLCJ1c2VySWQiOiIxNDY0ODg3MzE4In0=</vt:lpwstr>
  </property>
</Properties>
</file>